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2.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
          <w:szCs w:val="24"/>
          <w:lang w:val="en-US"/>
        </w:rPr>
        <w:id w:val="943277182"/>
        <w:docPartObj>
          <w:docPartGallery w:val="Cover Pages"/>
          <w:docPartUnique/>
        </w:docPartObj>
      </w:sdtPr>
      <w:sdtEndPr>
        <w:rPr>
          <w:rStyle w:val="Hyperlink"/>
          <w:noProof/>
          <w:color w:val="0563C1" w:themeColor="hyperlink"/>
          <w:sz w:val="24"/>
          <w:u w:val="single"/>
        </w:rPr>
      </w:sdtEndPr>
      <w:sdtContent>
        <w:p w:rsidR="00802D4C" w:rsidRDefault="00802D4C">
          <w:pPr>
            <w:pStyle w:val="NoSpacing"/>
            <w:rPr>
              <w:sz w:val="2"/>
            </w:rPr>
          </w:pPr>
        </w:p>
        <w:p w:rsidR="00802D4C" w:rsidRDefault="00F83AE0">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margin">
                      <wp:align>top</wp:align>
                    </wp:positionV>
                    <wp:extent cx="5780722" cy="9144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780722"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F83AE0" w:rsidRPr="005F441E" w:rsidRDefault="00F83AE0">
                                    <w:pPr>
                                      <w:pStyle w:val="NoSpacing"/>
                                      <w:rPr>
                                        <w:rFonts w:asciiTheme="majorHAnsi" w:eastAsiaTheme="majorEastAsia" w:hAnsiTheme="majorHAnsi" w:cstheme="majorBidi"/>
                                        <w:caps/>
                                        <w:color w:val="8496B0" w:themeColor="text2" w:themeTint="99"/>
                                        <w:sz w:val="68"/>
                                        <w:szCs w:val="68"/>
                                        <w:lang w:val="en-US"/>
                                      </w:rPr>
                                    </w:pPr>
                                    <w:r>
                                      <w:rPr>
                                        <w:rFonts w:asciiTheme="majorHAnsi" w:eastAsiaTheme="majorEastAsia" w:hAnsiTheme="majorHAnsi" w:cstheme="majorBidi"/>
                                        <w:caps/>
                                        <w:color w:val="8496B0" w:themeColor="text2" w:themeTint="99"/>
                                        <w:sz w:val="64"/>
                                        <w:szCs w:val="64"/>
                                        <w:lang w:val="en-US"/>
                                      </w:rPr>
                                      <w:t>georgia HIV/AIDS NAtional Strategic Plan</w:t>
                                    </w:r>
                                  </w:p>
                                </w:sdtContent>
                              </w:sdt>
                              <w:p w:rsidR="00F83AE0" w:rsidRPr="00802D4C" w:rsidRDefault="00F13508" w:rsidP="00802D4C">
                                <w:pPr>
                                  <w:pStyle w:val="NoSpacing"/>
                                  <w:spacing w:before="120"/>
                                  <w:rPr>
                                    <w:color w:val="4472C4" w:themeColor="accent1"/>
                                    <w:sz w:val="36"/>
                                    <w:szCs w:val="36"/>
                                  </w:rPr>
                                </w:pPr>
                                <w:sdt>
                                  <w:sdtPr>
                                    <w:rPr>
                                      <w:color w:val="4472C4" w:themeColor="accent1"/>
                                      <w:sz w:val="36"/>
                                      <w:szCs w:val="36"/>
                                    </w:rPr>
                                    <w:alias w:val="Subtitle"/>
                                    <w:id w:val="1430400419"/>
                                    <w:dataBinding w:prefixMappings="xmlns:ns0='http://purl.org/dc/elements/1.1/' xmlns:ns1='http://schemas.openxmlformats.org/package/2006/metadata/core-properties' " w:xpath="/ns1:coreProperties[1]/ns0:subject[1]" w:storeItemID="{6C3C8BC8-F283-45AE-878A-BAB7291924A1}"/>
                                    <w:text/>
                                  </w:sdtPr>
                                  <w:sdtEndPr/>
                                  <w:sdtContent>
                                    <w:r w:rsidR="00F83AE0">
                                      <w:rPr>
                                        <w:color w:val="4472C4" w:themeColor="accent1"/>
                                        <w:sz w:val="36"/>
                                        <w:szCs w:val="36"/>
                                        <w:lang w:val="en-US"/>
                                      </w:rPr>
                                      <w:t>2019 - 2022</w:t>
                                    </w:r>
                                  </w:sdtContent>
                                </w:sdt>
                                <w:r w:rsidR="00F83AE0">
                                  <w:rPr>
                                    <w:noProof/>
                                  </w:rPr>
                                  <w:t xml:space="preserve"> </w:t>
                                </w:r>
                              </w:p>
                            </w:txbxContent>
                          </wps:txbx>
                          <wps:bodyPr rot="0" spcFirstLastPara="0" vertOverflow="overflow" horzOverflow="overflow" vert="horz" wrap="square"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0;margin-top:0;width:455.15pt;height:1in;z-index:251662336;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id w:val="-8027741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F83AE0" w:rsidRPr="005F441E" w:rsidRDefault="00F83AE0">
                              <w:pPr>
                                <w:pStyle w:val="NoSpacing"/>
                                <w:rPr>
                                  <w:rFonts w:asciiTheme="majorHAnsi" w:eastAsiaTheme="majorEastAsia" w:hAnsiTheme="majorHAnsi" w:cstheme="majorBidi"/>
                                  <w:caps/>
                                  <w:color w:val="8496B0" w:themeColor="text2" w:themeTint="99"/>
                                  <w:sz w:val="68"/>
                                  <w:szCs w:val="68"/>
                                  <w:lang w:val="en-US"/>
                                </w:rPr>
                              </w:pPr>
                              <w:r>
                                <w:rPr>
                                  <w:rFonts w:asciiTheme="majorHAnsi" w:eastAsiaTheme="majorEastAsia" w:hAnsiTheme="majorHAnsi" w:cstheme="majorBidi"/>
                                  <w:caps/>
                                  <w:color w:val="8496B0" w:themeColor="text2" w:themeTint="99"/>
                                  <w:sz w:val="64"/>
                                  <w:szCs w:val="64"/>
                                  <w:lang w:val="en-US"/>
                                </w:rPr>
                                <w:t>georgia HIV/AIDS NAtional Strategic Plan</w:t>
                              </w:r>
                            </w:p>
                          </w:sdtContent>
                        </w:sdt>
                        <w:p w:rsidR="00F83AE0" w:rsidRPr="00802D4C" w:rsidRDefault="00412DB2" w:rsidP="00802D4C">
                          <w:pPr>
                            <w:pStyle w:val="NoSpacing"/>
                            <w:spacing w:before="120"/>
                            <w:rPr>
                              <w:color w:val="4472C4" w:themeColor="accent1"/>
                              <w:sz w:val="36"/>
                              <w:szCs w:val="36"/>
                            </w:rPr>
                          </w:pPr>
                          <w:sdt>
                            <w:sdtPr>
                              <w:rPr>
                                <w:color w:val="4472C4" w:themeColor="accent1"/>
                                <w:sz w:val="36"/>
                                <w:szCs w:val="36"/>
                              </w:rPr>
                              <w:alias w:val="Subtitle"/>
                              <w:id w:val="1430400419"/>
                              <w:dataBinding w:prefixMappings="xmlns:ns0='http://purl.org/dc/elements/1.1/' xmlns:ns1='http://schemas.openxmlformats.org/package/2006/metadata/core-properties' " w:xpath="/ns1:coreProperties[1]/ns0:subject[1]" w:storeItemID="{6C3C8BC8-F283-45AE-878A-BAB7291924A1}"/>
                              <w:text/>
                            </w:sdtPr>
                            <w:sdtEndPr/>
                            <w:sdtContent>
                              <w:r w:rsidR="00F83AE0">
                                <w:rPr>
                                  <w:color w:val="4472C4" w:themeColor="accent1"/>
                                  <w:sz w:val="36"/>
                                  <w:szCs w:val="36"/>
                                  <w:lang w:val="en-US"/>
                                </w:rPr>
                                <w:t>2019 - 2022</w:t>
                              </w:r>
                            </w:sdtContent>
                          </w:sdt>
                          <w:r w:rsidR="00F83AE0">
                            <w:rPr>
                              <w:noProof/>
                            </w:rPr>
                            <w:t xml:space="preserve"> </w:t>
                          </w:r>
                        </w:p>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1662430</wp:posOffset>
                        </wp:positionH>
                      </mc:Fallback>
                    </mc:AlternateContent>
                    <mc:AlternateContent>
                      <mc:Choice Requires="wp14">
                        <wp:positionV relativeFrom="page">
                          <wp14:pctPosVOffset>30000</wp14:pctPosVOffset>
                        </wp:positionV>
                      </mc:Choice>
                      <mc:Fallback>
                        <wp:positionV relativeFrom="page">
                          <wp:posOffset>3208020</wp:posOffset>
                        </wp:positionV>
                      </mc:Fallback>
                    </mc:AlternateContent>
                    <wp:extent cx="5334889" cy="6049289"/>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34889" cy="6049289"/>
                              <a:chOff x="0" y="0"/>
                              <a:chExt cx="4329113" cy="4491038"/>
                            </a:xfrm>
                            <a:solidFill>
                              <a:schemeClr val="tx2">
                                <a:lumMod val="60000"/>
                                <a:lumOff val="40000"/>
                              </a:schemeClr>
                            </a:solidFill>
                          </wpg:grpSpPr>
                          <wps:wsp>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s:wsp>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id="Group 2" o:spid="_x0000_s1026" style="width:432.65pt;height:448.55pt;margin-top:0;margin-left:0;mso-height-percent:566;mso-left-percent:220;mso-position-horizontal-relative:page;mso-position-vertical-relative:page;mso-top-percent:300;mso-width-percent:706;position:absolute;z-index:-251655168" coordsize="43291,44910">
                    <o:lock v:ext="edit" aspectratio="t"/>
                    <v:shape id="Freeform 64" o:spid="_x0000_s1027" style="width:28274;height:28352;left:15017;mso-wrap-style:square;position:absolute;visibility:visible;v-text-anchor:top" coordsize="1781,1786" path="m4,1786l,1782,1776,l1781,5l4,1786xe" filled="f" stroked="f">
                      <v:path arrowok="t" o:connecttype="custom" o:connectlocs="6350,2835275;0,2828925;2819400,0;2827338,7938;6350,2835275" o:connectangles="0,0,0,0,0"/>
                    </v:shape>
                    <v:shape id="Freeform 65" o:spid="_x0000_s1028" style="width:35465;height:35464;left:7826;mso-wrap-style:square;position:absolute;top:2270;visibility:visible;v-text-anchor:top" coordsize="2234,2234" path="m5,2234l,2229,2229,l2234,5l5,2234xe" filled="f" stroked="f">
                      <v:path arrowok="t" o:connecttype="custom" o:connectlocs="7938,3546475;0,3538538;3538538,0;3546475,7938;7938,3546475" o:connectangles="0,0,0,0,0"/>
                    </v:shape>
                    <v:shape id="Freeform 66" o:spid="_x0000_s1029" style="width:34878;height:34877;left:8413;mso-wrap-style:square;position:absolute;top:1095;visibility:visible;v-text-anchor:top" coordsize="2197,2197" path="m9,2197l,2193,2188,l2197,10l9,2197xe" filled="f" stroked="f">
                      <v:path arrowok="t" o:connecttype="custom" o:connectlocs="14288,3487738;0,3481388;3473450,0;3487738,15875;14288,3487738" o:connectangles="0,0,0,0,0"/>
                    </v:shape>
                    <v:shape id="Freeform 67" o:spid="_x0000_s1030" style="width:31131;height:31211;left:12160;mso-wrap-style:square;position:absolute;top:4984;visibility:visible;v-text-anchor:top" coordsize="1961,1966" path="m9,1966l,1957,1952,l1961,9l9,1966xe" filled="f" stroked="f">
                      <v:path arrowok="t" o:connecttype="custom" o:connectlocs="14288,3121025;0,3106738;3098800,0;3113088,14288;14288,3121025" o:connectangles="0,0,0,0,0"/>
                    </v:shape>
                    <v:shape id="Freeform 68" o:spid="_x0000_s1031" style="width:43291;height:43371;mso-wrap-style:square;position:absolute;top:1539;visibility:visible;v-text-anchor:top" coordsize="2727,2732" path="m,2732l,2728l2722,l2727,5l,2732xe" filled="f" stroked="f">
                      <v:path arrowok="t" o:connecttype="custom" o:connectlocs="0,4337050;0,4330700;4321175,0;4329113,7938;0,4337050" o:connectangles="0,0,0,0,0"/>
                    </v:shape>
                  </v:group>
                </w:pict>
              </mc:Fallback>
            </mc:AlternateContent>
          </w:r>
        </w:p>
        <w:p w:rsidR="00802D4C" w:rsidRDefault="00F83AE0">
          <w:pPr>
            <w:rPr>
              <w:rStyle w:val="Hyperlink"/>
              <w:rFonts w:cstheme="minorHAnsi"/>
              <w:b/>
              <w:bCs/>
              <w:i/>
              <w:iCs/>
              <w:noProof/>
            </w:rPr>
          </w:pPr>
          <w:r>
            <w:rPr>
              <w:rStyle w:val="Hyperlink"/>
              <w:noProof/>
            </w:rPr>
            <w:br w:type="page"/>
          </w:r>
        </w:p>
      </w:sdtContent>
    </w:sdt>
    <w:p w:rsidR="007D1D1E" w:rsidRPr="00EC5F4A" w:rsidRDefault="00F83AE0">
      <w:pPr>
        <w:pStyle w:val="TOC1"/>
        <w:tabs>
          <w:tab w:val="right" w:leader="underscore" w:pos="9010"/>
        </w:tabs>
        <w:rPr>
          <w:rFonts w:asciiTheme="minorHAnsi" w:eastAsiaTheme="minorEastAsia" w:hAnsiTheme="minorHAnsi" w:cstheme="minorBidi"/>
          <w:b w:val="0"/>
          <w:bCs w:val="0"/>
          <w:i w:val="0"/>
          <w:iCs w:val="0"/>
          <w:noProof/>
        </w:rPr>
      </w:pPr>
      <w:r w:rsidRPr="00EC5F4A">
        <w:rPr>
          <w:rFonts w:asciiTheme="minorHAnsi" w:hAnsiTheme="minorHAnsi"/>
        </w:rPr>
        <w:lastRenderedPageBreak/>
        <w:fldChar w:fldCharType="begin"/>
      </w:r>
      <w:r w:rsidRPr="00EC5F4A">
        <w:rPr>
          <w:rFonts w:asciiTheme="minorHAnsi" w:hAnsiTheme="minorHAnsi"/>
        </w:rPr>
        <w:instrText xml:space="preserve"> TOC \o "1-3" \h \z \u </w:instrText>
      </w:r>
      <w:r w:rsidRPr="00EC5F4A">
        <w:rPr>
          <w:rFonts w:asciiTheme="minorHAnsi" w:hAnsiTheme="minorHAnsi"/>
        </w:rPr>
        <w:fldChar w:fldCharType="separate"/>
      </w:r>
      <w:hyperlink w:anchor="_Toc517018604" w:history="1">
        <w:r w:rsidRPr="00EC5F4A">
          <w:rPr>
            <w:rStyle w:val="Hyperlink"/>
            <w:rFonts w:asciiTheme="minorHAnsi" w:hAnsiTheme="minorHAnsi"/>
            <w:noProof/>
          </w:rPr>
          <w:t>List of Abbreviations</w:t>
        </w:r>
        <w:r w:rsidRPr="00EC5F4A">
          <w:rPr>
            <w:rFonts w:asciiTheme="minorHAnsi" w:hAnsiTheme="minorHAnsi"/>
            <w:noProof/>
            <w:webHidden/>
          </w:rPr>
          <w:tab/>
        </w:r>
        <w:r w:rsidRPr="00EC5F4A">
          <w:rPr>
            <w:rFonts w:asciiTheme="minorHAnsi" w:hAnsiTheme="minorHAnsi"/>
            <w:noProof/>
            <w:webHidden/>
          </w:rPr>
          <w:fldChar w:fldCharType="begin"/>
        </w:r>
        <w:r w:rsidRPr="00EC5F4A">
          <w:rPr>
            <w:rFonts w:asciiTheme="minorHAnsi" w:hAnsiTheme="minorHAnsi"/>
            <w:noProof/>
            <w:webHidden/>
          </w:rPr>
          <w:instrText xml:space="preserve"> PAGEREF _Toc517018604 \h </w:instrText>
        </w:r>
        <w:r w:rsidRPr="00EC5F4A">
          <w:rPr>
            <w:rFonts w:asciiTheme="minorHAnsi" w:hAnsiTheme="minorHAnsi"/>
            <w:noProof/>
            <w:webHidden/>
          </w:rPr>
        </w:r>
        <w:r w:rsidRPr="00EC5F4A">
          <w:rPr>
            <w:rFonts w:asciiTheme="minorHAnsi" w:hAnsiTheme="minorHAnsi"/>
            <w:noProof/>
            <w:webHidden/>
          </w:rPr>
          <w:fldChar w:fldCharType="separate"/>
        </w:r>
        <w:r w:rsidRPr="00EC5F4A">
          <w:rPr>
            <w:rFonts w:asciiTheme="minorHAnsi" w:hAnsiTheme="minorHAnsi"/>
            <w:noProof/>
            <w:webHidden/>
          </w:rPr>
          <w:t>2</w:t>
        </w:r>
        <w:r w:rsidRPr="00EC5F4A">
          <w:rPr>
            <w:rFonts w:asciiTheme="minorHAnsi" w:hAnsiTheme="minorHAnsi"/>
            <w:noProof/>
            <w:webHidden/>
          </w:rPr>
          <w:fldChar w:fldCharType="end"/>
        </w:r>
      </w:hyperlink>
    </w:p>
    <w:p w:rsidR="007D1D1E" w:rsidRPr="00EC5F4A" w:rsidRDefault="00F13508">
      <w:pPr>
        <w:pStyle w:val="TOC1"/>
        <w:tabs>
          <w:tab w:val="right" w:leader="underscore" w:pos="9010"/>
        </w:tabs>
        <w:rPr>
          <w:rFonts w:asciiTheme="minorHAnsi" w:eastAsiaTheme="minorEastAsia" w:hAnsiTheme="minorHAnsi" w:cstheme="minorBidi"/>
          <w:b w:val="0"/>
          <w:bCs w:val="0"/>
          <w:i w:val="0"/>
          <w:iCs w:val="0"/>
          <w:noProof/>
        </w:rPr>
      </w:pPr>
      <w:hyperlink w:anchor="_Toc517018605" w:history="1">
        <w:r w:rsidR="00F83AE0" w:rsidRPr="00EC5F4A">
          <w:rPr>
            <w:rStyle w:val="Hyperlink"/>
            <w:rFonts w:asciiTheme="minorHAnsi" w:hAnsiTheme="minorHAnsi"/>
            <w:noProof/>
          </w:rPr>
          <w:t>Background</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_Toc517018605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3</w:t>
        </w:r>
        <w:r w:rsidR="00F83AE0" w:rsidRPr="00EC5F4A">
          <w:rPr>
            <w:rFonts w:asciiTheme="minorHAnsi" w:hAnsiTheme="minorHAnsi"/>
            <w:noProof/>
            <w:webHidden/>
          </w:rPr>
          <w:fldChar w:fldCharType="end"/>
        </w:r>
      </w:hyperlink>
    </w:p>
    <w:p w:rsidR="007D1D1E" w:rsidRPr="00EC5F4A" w:rsidRDefault="00F13508">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17018606" w:history="1">
        <w:r w:rsidR="00F83AE0" w:rsidRPr="00EC5F4A">
          <w:rPr>
            <w:rStyle w:val="Hyperlink"/>
            <w:rFonts w:asciiTheme="minorHAnsi" w:hAnsiTheme="minorHAnsi"/>
            <w:noProof/>
          </w:rPr>
          <w:t>1.</w:t>
        </w:r>
        <w:r w:rsidR="00F83AE0" w:rsidRPr="00EC5F4A">
          <w:rPr>
            <w:rFonts w:asciiTheme="minorHAnsi" w:eastAsiaTheme="minorEastAsia" w:hAnsiTheme="minorHAnsi" w:cstheme="minorBidi"/>
            <w:b w:val="0"/>
            <w:bCs w:val="0"/>
            <w:noProof/>
            <w:sz w:val="24"/>
            <w:szCs w:val="24"/>
          </w:rPr>
          <w:tab/>
        </w:r>
        <w:r w:rsidR="00F83AE0" w:rsidRPr="00EC5F4A">
          <w:rPr>
            <w:rStyle w:val="Hyperlink"/>
            <w:rFonts w:asciiTheme="minorHAnsi" w:hAnsiTheme="minorHAnsi"/>
            <w:noProof/>
          </w:rPr>
          <w:t>Situation Analysis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_Toc517018606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4</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07" w:history="1">
        <w:r w:rsidR="00F83AE0" w:rsidRPr="00EC5F4A">
          <w:rPr>
            <w:rStyle w:val="Hyperlink"/>
            <w:rFonts w:asciiTheme="minorHAnsi" w:hAnsiTheme="minorHAnsi"/>
            <w:noProof/>
          </w:rPr>
          <w:t>1.1 Legal Framework</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_Toc517018607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4</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08" w:history="1">
        <w:r w:rsidR="00F83AE0" w:rsidRPr="00EC5F4A">
          <w:rPr>
            <w:rStyle w:val="Hyperlink"/>
            <w:rFonts w:asciiTheme="minorHAnsi" w:hAnsiTheme="minorHAnsi"/>
            <w:noProof/>
          </w:rPr>
          <w:t>1.2 Global Strategies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_Toc517018608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4</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09" w:history="1">
        <w:r w:rsidR="00F83AE0" w:rsidRPr="00EC5F4A">
          <w:rPr>
            <w:rStyle w:val="Hyperlink"/>
            <w:rFonts w:asciiTheme="minorHAnsi" w:hAnsiTheme="minorHAnsi"/>
            <w:noProof/>
          </w:rPr>
          <w:t>1.3 HIV/AIDS Epidemiological Update</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_Toc517018609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4</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10" w:history="1">
        <w:r w:rsidR="00F83AE0" w:rsidRPr="00EC5F4A">
          <w:rPr>
            <w:rStyle w:val="Hyperlink"/>
            <w:rFonts w:asciiTheme="minorHAnsi" w:hAnsiTheme="minorHAnsi"/>
            <w:noProof/>
          </w:rPr>
          <w:t>MSM</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_Toc517018610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5</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11" w:history="1">
        <w:r w:rsidR="00F83AE0" w:rsidRPr="00EC5F4A">
          <w:rPr>
            <w:rStyle w:val="Hyperlink"/>
            <w:rFonts w:asciiTheme="minorHAnsi" w:hAnsiTheme="minorHAnsi"/>
            <w:noProof/>
          </w:rPr>
          <w:t>PWID</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_Toc517018611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5</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12" w:history="1">
        <w:r w:rsidR="00F83AE0" w:rsidRPr="00EC5F4A">
          <w:rPr>
            <w:rStyle w:val="Hyperlink"/>
            <w:rFonts w:asciiTheme="minorHAnsi" w:hAnsiTheme="minorHAnsi"/>
            <w:noProof/>
          </w:rPr>
          <w:t>FSW’s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_Toc517018612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5</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13" w:history="1">
        <w:r w:rsidR="00F83AE0" w:rsidRPr="00EC5F4A">
          <w:rPr>
            <w:rStyle w:val="Hyperlink"/>
            <w:rFonts w:asciiTheme="minorHAnsi" w:hAnsiTheme="minorHAnsi"/>
            <w:noProof/>
          </w:rPr>
          <w:t>Prisoners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_Toc517018613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6</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14" w:history="1">
        <w:r w:rsidR="00F83AE0" w:rsidRPr="00EC5F4A">
          <w:rPr>
            <w:rStyle w:val="Hyperlink"/>
            <w:rFonts w:asciiTheme="minorHAnsi" w:hAnsiTheme="minorHAnsi"/>
            <w:noProof/>
          </w:rPr>
          <w:t>General Population</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_Toc517018614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6</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15" w:history="1">
        <w:r w:rsidR="00F83AE0" w:rsidRPr="00EC5F4A">
          <w:rPr>
            <w:rStyle w:val="Hyperlink"/>
            <w:rFonts w:asciiTheme="minorHAnsi" w:hAnsiTheme="minorHAnsi"/>
            <w:noProof/>
          </w:rPr>
          <w:t>Progress towards 90-90-90</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_Toc517018615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6</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16" w:history="1">
        <w:r w:rsidR="00F83AE0" w:rsidRPr="00EC5F4A">
          <w:rPr>
            <w:rStyle w:val="Hyperlink"/>
            <w:rFonts w:asciiTheme="minorHAnsi" w:hAnsiTheme="minorHAnsi"/>
            <w:noProof/>
          </w:rPr>
          <w:t>Management of co-infections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_Toc517018616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7</w:t>
        </w:r>
        <w:r w:rsidR="00F83AE0" w:rsidRPr="00EC5F4A">
          <w:rPr>
            <w:rFonts w:asciiTheme="minorHAnsi" w:hAnsiTheme="minorHAnsi"/>
            <w:noProof/>
            <w:webHidden/>
          </w:rPr>
          <w:fldChar w:fldCharType="end"/>
        </w:r>
      </w:hyperlink>
    </w:p>
    <w:p w:rsidR="007D1D1E" w:rsidRPr="00EC5F4A" w:rsidRDefault="00F13508">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17018617" w:history="1">
        <w:r w:rsidR="00F83AE0" w:rsidRPr="00EC5F4A">
          <w:rPr>
            <w:rStyle w:val="Hyperlink"/>
            <w:rFonts w:asciiTheme="minorHAnsi" w:hAnsiTheme="minorHAnsi"/>
            <w:noProof/>
          </w:rPr>
          <w:t>2.</w:t>
        </w:r>
        <w:r w:rsidR="00F83AE0" w:rsidRPr="00EC5F4A">
          <w:rPr>
            <w:rFonts w:asciiTheme="minorHAnsi" w:eastAsiaTheme="minorEastAsia" w:hAnsiTheme="minorHAnsi" w:cstheme="minorBidi"/>
            <w:b w:val="0"/>
            <w:bCs w:val="0"/>
            <w:noProof/>
            <w:sz w:val="24"/>
            <w:szCs w:val="24"/>
          </w:rPr>
          <w:tab/>
        </w:r>
        <w:r w:rsidR="00F83AE0" w:rsidRPr="00EC5F4A">
          <w:rPr>
            <w:rStyle w:val="Hyperlink"/>
            <w:rFonts w:asciiTheme="minorHAnsi" w:hAnsiTheme="minorHAnsi"/>
            <w:noProof/>
          </w:rPr>
          <w:t>HIV/AIDS National Response – General Approach, Goal and Strategic Objectives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_Toc517018617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8</w:t>
        </w:r>
        <w:r w:rsidR="00F83AE0" w:rsidRPr="00EC5F4A">
          <w:rPr>
            <w:rFonts w:asciiTheme="minorHAnsi" w:hAnsiTheme="minorHAnsi"/>
            <w:noProof/>
            <w:webHidden/>
          </w:rPr>
          <w:fldChar w:fldCharType="end"/>
        </w:r>
      </w:hyperlink>
    </w:p>
    <w:p w:rsidR="007D1D1E" w:rsidRPr="00EC5F4A" w:rsidRDefault="00F13508">
      <w:pPr>
        <w:pStyle w:val="TOC3"/>
        <w:tabs>
          <w:tab w:val="left" w:pos="1200"/>
          <w:tab w:val="right" w:leader="underscore" w:pos="9010"/>
        </w:tabs>
        <w:rPr>
          <w:rFonts w:asciiTheme="minorHAnsi" w:eastAsiaTheme="minorEastAsia" w:hAnsiTheme="minorHAnsi" w:cstheme="minorBidi"/>
          <w:noProof/>
          <w:sz w:val="24"/>
          <w:szCs w:val="24"/>
        </w:rPr>
      </w:pPr>
      <w:hyperlink w:anchor="_Toc517018618" w:history="1">
        <w:r w:rsidR="00F83AE0" w:rsidRPr="00EC5F4A">
          <w:rPr>
            <w:rStyle w:val="Hyperlink"/>
            <w:rFonts w:asciiTheme="minorHAnsi" w:hAnsiTheme="minorHAnsi"/>
            <w:noProof/>
          </w:rPr>
          <w:t>2.1</w:t>
        </w:r>
        <w:r w:rsidR="00F83AE0" w:rsidRPr="00EC5F4A">
          <w:rPr>
            <w:rFonts w:asciiTheme="minorHAnsi" w:eastAsiaTheme="minorEastAsia" w:hAnsiTheme="minorHAnsi" w:cstheme="minorBidi"/>
            <w:noProof/>
            <w:sz w:val="24"/>
            <w:szCs w:val="24"/>
          </w:rPr>
          <w:tab/>
        </w:r>
        <w:r w:rsidR="00F83AE0" w:rsidRPr="00EC5F4A">
          <w:rPr>
            <w:rStyle w:val="Hyperlink"/>
            <w:rFonts w:asciiTheme="minorHAnsi" w:hAnsiTheme="minorHAnsi"/>
            <w:noProof/>
          </w:rPr>
          <w:t>HIV Prevention and Detection: Achievements and Remaining Challenges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_Toc517018618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9</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19" w:history="1">
        <w:r w:rsidR="00F83AE0" w:rsidRPr="00EC5F4A">
          <w:rPr>
            <w:rStyle w:val="Hyperlink"/>
            <w:rFonts w:asciiTheme="minorHAnsi" w:hAnsiTheme="minorHAnsi"/>
            <w:noProof/>
            <w:lang w:val="en-GB"/>
          </w:rPr>
          <w:t>MSM</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_Toc517018619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10</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20" w:history="1">
        <w:r w:rsidR="00F83AE0" w:rsidRPr="00EC5F4A">
          <w:rPr>
            <w:rStyle w:val="Hyperlink"/>
            <w:rFonts w:asciiTheme="minorHAnsi" w:hAnsiTheme="minorHAnsi"/>
            <w:noProof/>
            <w:lang w:val="en-GB"/>
          </w:rPr>
          <w:t>PWID</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_Toc517018620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11</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21" w:history="1">
        <w:r w:rsidR="00F83AE0" w:rsidRPr="00EC5F4A">
          <w:rPr>
            <w:rStyle w:val="Hyperlink"/>
            <w:rFonts w:asciiTheme="minorHAnsi" w:hAnsiTheme="minorHAnsi"/>
            <w:noProof/>
          </w:rPr>
          <w:t>CSW’s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_Toc517018621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12</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22" w:history="1">
        <w:r w:rsidR="00F83AE0" w:rsidRPr="00EC5F4A">
          <w:rPr>
            <w:rStyle w:val="Hyperlink"/>
            <w:rFonts w:asciiTheme="minorHAnsi" w:hAnsiTheme="minorHAnsi"/>
            <w:noProof/>
            <w:lang w:val="en-GB"/>
          </w:rPr>
          <w:t>Prisoners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_Toc517018622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13</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23" w:history="1">
        <w:r w:rsidR="00F83AE0" w:rsidRPr="00EC5F4A">
          <w:rPr>
            <w:rStyle w:val="Hyperlink"/>
            <w:rFonts w:asciiTheme="minorHAnsi" w:hAnsiTheme="minorHAnsi"/>
            <w:noProof/>
            <w:lang w:val="en-GB"/>
          </w:rPr>
          <w:t>EMTCT</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_Toc517018623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13</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24" w:history="1">
        <w:r w:rsidR="00F83AE0" w:rsidRPr="00EC5F4A">
          <w:rPr>
            <w:rStyle w:val="Hyperlink"/>
            <w:rFonts w:asciiTheme="minorHAnsi" w:hAnsiTheme="minorHAnsi"/>
            <w:noProof/>
          </w:rPr>
          <w:t>Safe Blood</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_Toc517018624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14</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25" w:history="1">
        <w:r w:rsidR="00F83AE0" w:rsidRPr="00EC5F4A">
          <w:rPr>
            <w:rStyle w:val="Hyperlink"/>
            <w:rFonts w:asciiTheme="minorHAnsi" w:hAnsiTheme="minorHAnsi"/>
            <w:noProof/>
          </w:rPr>
          <w:t>Hepatitis C</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_Toc517018625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14</w:t>
        </w:r>
        <w:r w:rsidR="00F83AE0" w:rsidRPr="00EC5F4A">
          <w:rPr>
            <w:rFonts w:asciiTheme="minorHAnsi" w:hAnsiTheme="minorHAnsi"/>
            <w:noProof/>
            <w:webHidden/>
          </w:rPr>
          <w:fldChar w:fldCharType="end"/>
        </w:r>
      </w:hyperlink>
    </w:p>
    <w:p w:rsidR="007D1D1E" w:rsidRPr="00EC5F4A" w:rsidRDefault="00F13508">
      <w:pPr>
        <w:pStyle w:val="TOC3"/>
        <w:tabs>
          <w:tab w:val="left" w:pos="1200"/>
          <w:tab w:val="right" w:leader="underscore" w:pos="9010"/>
        </w:tabs>
        <w:rPr>
          <w:rFonts w:asciiTheme="minorHAnsi" w:eastAsiaTheme="minorEastAsia" w:hAnsiTheme="minorHAnsi" w:cstheme="minorBidi"/>
          <w:noProof/>
          <w:sz w:val="24"/>
          <w:szCs w:val="24"/>
        </w:rPr>
      </w:pPr>
      <w:hyperlink w:anchor="_Toc517018626" w:history="1">
        <w:r w:rsidR="00F83AE0" w:rsidRPr="00EC5F4A">
          <w:rPr>
            <w:rStyle w:val="Hyperlink"/>
            <w:rFonts w:asciiTheme="minorHAnsi" w:hAnsiTheme="minorHAnsi"/>
            <w:noProof/>
          </w:rPr>
          <w:t>2.2</w:t>
        </w:r>
        <w:r w:rsidR="00F83AE0" w:rsidRPr="00EC5F4A">
          <w:rPr>
            <w:rFonts w:asciiTheme="minorHAnsi" w:eastAsiaTheme="minorEastAsia" w:hAnsiTheme="minorHAnsi" w:cstheme="minorBidi"/>
            <w:noProof/>
            <w:sz w:val="24"/>
            <w:szCs w:val="24"/>
          </w:rPr>
          <w:tab/>
        </w:r>
        <w:r w:rsidR="00F83AE0" w:rsidRPr="00EC5F4A">
          <w:rPr>
            <w:rStyle w:val="Hyperlink"/>
            <w:rFonts w:asciiTheme="minorHAnsi" w:hAnsiTheme="minorHAnsi"/>
            <w:noProof/>
          </w:rPr>
          <w:t>HIV Treatment and Care: Achievements and Remaining Challenges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_Toc517018626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15</w:t>
        </w:r>
        <w:r w:rsidR="00F83AE0" w:rsidRPr="00EC5F4A">
          <w:rPr>
            <w:rFonts w:asciiTheme="minorHAnsi" w:hAnsiTheme="minorHAnsi"/>
            <w:noProof/>
            <w:webHidden/>
          </w:rPr>
          <w:fldChar w:fldCharType="end"/>
        </w:r>
      </w:hyperlink>
    </w:p>
    <w:p w:rsidR="007D1D1E" w:rsidRPr="00EC5F4A" w:rsidRDefault="00F13508">
      <w:pPr>
        <w:pStyle w:val="TOC3"/>
        <w:tabs>
          <w:tab w:val="left" w:pos="1200"/>
          <w:tab w:val="right" w:leader="underscore" w:pos="9010"/>
        </w:tabs>
        <w:rPr>
          <w:rFonts w:asciiTheme="minorHAnsi" w:eastAsiaTheme="minorEastAsia" w:hAnsiTheme="minorHAnsi" w:cstheme="minorBidi"/>
          <w:noProof/>
          <w:sz w:val="24"/>
          <w:szCs w:val="24"/>
        </w:rPr>
      </w:pPr>
      <w:hyperlink w:anchor="_Toc517018627" w:history="1">
        <w:r w:rsidR="00F83AE0" w:rsidRPr="00EC5F4A">
          <w:rPr>
            <w:rStyle w:val="Hyperlink"/>
            <w:rFonts w:asciiTheme="minorHAnsi" w:hAnsiTheme="minorHAnsi"/>
            <w:noProof/>
          </w:rPr>
          <w:t>2.3</w:t>
        </w:r>
        <w:r w:rsidR="00F83AE0" w:rsidRPr="00EC5F4A">
          <w:rPr>
            <w:rFonts w:asciiTheme="minorHAnsi" w:eastAsiaTheme="minorEastAsia" w:hAnsiTheme="minorHAnsi" w:cstheme="minorBidi"/>
            <w:noProof/>
            <w:sz w:val="24"/>
            <w:szCs w:val="24"/>
          </w:rPr>
          <w:tab/>
        </w:r>
        <w:r w:rsidR="00F83AE0" w:rsidRPr="00EC5F4A">
          <w:rPr>
            <w:rStyle w:val="Hyperlink"/>
            <w:rFonts w:asciiTheme="minorHAnsi" w:hAnsiTheme="minorHAnsi"/>
            <w:noProof/>
          </w:rPr>
          <w:t>Governance and Leadership: Achievements and Remaining Challenges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_Toc517018627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17</w:t>
        </w:r>
        <w:r w:rsidR="00F83AE0" w:rsidRPr="00EC5F4A">
          <w:rPr>
            <w:rFonts w:asciiTheme="minorHAnsi" w:hAnsiTheme="minorHAnsi"/>
            <w:noProof/>
            <w:webHidden/>
          </w:rPr>
          <w:fldChar w:fldCharType="end"/>
        </w:r>
      </w:hyperlink>
    </w:p>
    <w:p w:rsidR="007D1D1E" w:rsidRPr="00EC5F4A" w:rsidRDefault="00F13508">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17018628" w:history="1">
        <w:r w:rsidR="00F83AE0" w:rsidRPr="00EC5F4A">
          <w:rPr>
            <w:rStyle w:val="Hyperlink"/>
            <w:rFonts w:asciiTheme="minorHAnsi" w:hAnsiTheme="minorHAnsi"/>
            <w:noProof/>
          </w:rPr>
          <w:t>3.</w:t>
        </w:r>
        <w:r w:rsidR="00F83AE0" w:rsidRPr="00EC5F4A">
          <w:rPr>
            <w:rFonts w:asciiTheme="minorHAnsi" w:eastAsiaTheme="minorEastAsia" w:hAnsiTheme="minorHAnsi" w:cstheme="minorBidi"/>
            <w:b w:val="0"/>
            <w:bCs w:val="0"/>
            <w:noProof/>
            <w:sz w:val="24"/>
            <w:szCs w:val="24"/>
          </w:rPr>
          <w:tab/>
        </w:r>
        <w:r w:rsidR="00F83AE0" w:rsidRPr="00EC5F4A">
          <w:rPr>
            <w:rStyle w:val="Hyperlink"/>
            <w:rFonts w:asciiTheme="minorHAnsi" w:hAnsiTheme="minorHAnsi"/>
            <w:noProof/>
          </w:rPr>
          <w:t>Funding Requirements for 2019 – 2022 NSP</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_Toc517018628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19</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29" w:history="1">
        <w:r w:rsidR="00F83AE0" w:rsidRPr="00EC5F4A">
          <w:rPr>
            <w:rStyle w:val="Hyperlink"/>
            <w:rFonts w:asciiTheme="minorHAnsi" w:hAnsiTheme="minorHAnsi"/>
            <w:noProof/>
          </w:rPr>
          <w:t>3.1 Current Funding Landscape</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_Toc517018629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19</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30" w:history="1">
        <w:r w:rsidR="00F83AE0" w:rsidRPr="00EC5F4A">
          <w:rPr>
            <w:rStyle w:val="Hyperlink"/>
            <w:rFonts w:asciiTheme="minorHAnsi" w:hAnsiTheme="minorHAnsi"/>
            <w:noProof/>
          </w:rPr>
          <w:t>3.2 Funding GAP</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_Toc517018630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21</w:t>
        </w:r>
        <w:r w:rsidR="00F83AE0" w:rsidRPr="00EC5F4A">
          <w:rPr>
            <w:rFonts w:asciiTheme="minorHAnsi" w:hAnsiTheme="minorHAnsi"/>
            <w:noProof/>
            <w:webHidden/>
          </w:rPr>
          <w:fldChar w:fldCharType="end"/>
        </w:r>
      </w:hyperlink>
    </w:p>
    <w:p w:rsidR="007D1D1E" w:rsidRPr="00EC5F4A" w:rsidRDefault="00F13508">
      <w:pPr>
        <w:pStyle w:val="TOC2"/>
        <w:tabs>
          <w:tab w:val="left" w:pos="720"/>
          <w:tab w:val="right" w:leader="underscore" w:pos="9010"/>
        </w:tabs>
        <w:rPr>
          <w:rFonts w:asciiTheme="minorHAnsi" w:eastAsiaTheme="minorEastAsia" w:hAnsiTheme="minorHAnsi" w:cstheme="minorBidi"/>
          <w:b w:val="0"/>
          <w:bCs w:val="0"/>
          <w:noProof/>
          <w:sz w:val="24"/>
          <w:szCs w:val="24"/>
        </w:rPr>
      </w:pPr>
      <w:hyperlink w:anchor="_Toc517018631" w:history="1">
        <w:r w:rsidR="00F83AE0" w:rsidRPr="00EC5F4A">
          <w:rPr>
            <w:rStyle w:val="Hyperlink"/>
            <w:rFonts w:asciiTheme="minorHAnsi" w:hAnsiTheme="minorHAnsi"/>
            <w:noProof/>
          </w:rPr>
          <w:t>4.</w:t>
        </w:r>
        <w:r w:rsidR="00F83AE0" w:rsidRPr="00EC5F4A">
          <w:rPr>
            <w:rFonts w:asciiTheme="minorHAnsi" w:eastAsiaTheme="minorEastAsia" w:hAnsiTheme="minorHAnsi" w:cstheme="minorBidi"/>
            <w:b w:val="0"/>
            <w:bCs w:val="0"/>
            <w:noProof/>
            <w:sz w:val="24"/>
            <w:szCs w:val="24"/>
          </w:rPr>
          <w:tab/>
        </w:r>
        <w:r w:rsidR="00F83AE0" w:rsidRPr="00EC5F4A">
          <w:rPr>
            <w:rStyle w:val="Hyperlink"/>
            <w:rFonts w:asciiTheme="minorHAnsi" w:hAnsiTheme="minorHAnsi"/>
            <w:noProof/>
          </w:rPr>
          <w:t>Monitoring and Evaluation framework</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_Toc517018631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22</w:t>
        </w:r>
        <w:r w:rsidR="00F83AE0" w:rsidRPr="00EC5F4A">
          <w:rPr>
            <w:rFonts w:asciiTheme="minorHAnsi" w:hAnsiTheme="minorHAnsi"/>
            <w:noProof/>
            <w:webHidden/>
          </w:rPr>
          <w:fldChar w:fldCharType="end"/>
        </w:r>
      </w:hyperlink>
    </w:p>
    <w:p w:rsidR="007D1D1E" w:rsidRPr="00EC5F4A" w:rsidRDefault="00F13508">
      <w:pPr>
        <w:pStyle w:val="TOC1"/>
        <w:tabs>
          <w:tab w:val="right" w:leader="underscore" w:pos="9010"/>
        </w:tabs>
        <w:rPr>
          <w:rFonts w:asciiTheme="minorHAnsi" w:eastAsiaTheme="minorEastAsia" w:hAnsiTheme="minorHAnsi" w:cstheme="minorBidi"/>
          <w:b w:val="0"/>
          <w:bCs w:val="0"/>
          <w:i w:val="0"/>
          <w:iCs w:val="0"/>
          <w:noProof/>
        </w:rPr>
      </w:pPr>
      <w:hyperlink w:anchor="_Toc517018632" w:history="1">
        <w:r w:rsidR="00F83AE0" w:rsidRPr="00EC5F4A">
          <w:rPr>
            <w:rStyle w:val="Hyperlink"/>
            <w:rFonts w:asciiTheme="minorHAnsi" w:hAnsiTheme="minorHAnsi"/>
            <w:noProof/>
          </w:rPr>
          <w:t>Annexes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_Toc517018632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23</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33" w:history="1">
        <w:r w:rsidR="00F83AE0" w:rsidRPr="00EC5F4A">
          <w:rPr>
            <w:rStyle w:val="Hyperlink"/>
            <w:rFonts w:asciiTheme="minorHAnsi" w:hAnsiTheme="minorHAnsi"/>
            <w:noProof/>
          </w:rPr>
          <w:t>Annex 1 Figures and Graphs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_Toc517018633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23</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34" w:history="1">
        <w:r w:rsidR="00F83AE0" w:rsidRPr="00EC5F4A">
          <w:rPr>
            <w:rStyle w:val="Hyperlink"/>
            <w:rFonts w:asciiTheme="minorHAnsi" w:hAnsiTheme="minorHAnsi"/>
            <w:noProof/>
          </w:rPr>
          <w:t>Annex 2 Detailed budget (USD)</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_Toc517018634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29</w:t>
        </w:r>
        <w:r w:rsidR="00F83AE0" w:rsidRPr="00EC5F4A">
          <w:rPr>
            <w:rFonts w:asciiTheme="minorHAnsi" w:hAnsiTheme="minorHAnsi"/>
            <w:noProof/>
            <w:webHidden/>
          </w:rPr>
          <w:fldChar w:fldCharType="end"/>
        </w:r>
      </w:hyperlink>
    </w:p>
    <w:p w:rsidR="007D1D1E" w:rsidRPr="00EC5F4A" w:rsidRDefault="00F13508">
      <w:pPr>
        <w:pStyle w:val="TOC3"/>
        <w:tabs>
          <w:tab w:val="right" w:leader="underscore" w:pos="9010"/>
        </w:tabs>
        <w:rPr>
          <w:rFonts w:asciiTheme="minorHAnsi" w:eastAsiaTheme="minorEastAsia" w:hAnsiTheme="minorHAnsi" w:cstheme="minorBidi"/>
          <w:noProof/>
          <w:sz w:val="24"/>
          <w:szCs w:val="24"/>
        </w:rPr>
      </w:pPr>
      <w:hyperlink w:anchor="_Toc517018635" w:history="1">
        <w:r w:rsidR="00F83AE0" w:rsidRPr="00EC5F4A">
          <w:rPr>
            <w:rStyle w:val="Hyperlink"/>
            <w:rFonts w:asciiTheme="minorHAnsi" w:hAnsiTheme="minorHAnsi"/>
            <w:noProof/>
          </w:rPr>
          <w:t>Annex 3 2019 – 2022 NSP M&amp;E Framework</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_Toc517018635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34</w:t>
        </w:r>
        <w:r w:rsidR="00F83AE0" w:rsidRPr="00EC5F4A">
          <w:rPr>
            <w:rFonts w:asciiTheme="minorHAnsi" w:hAnsiTheme="minorHAnsi"/>
            <w:noProof/>
            <w:webHidden/>
          </w:rPr>
          <w:fldChar w:fldCharType="end"/>
        </w:r>
      </w:hyperlink>
    </w:p>
    <w:p w:rsidR="007D1D1E" w:rsidRPr="00EC5F4A" w:rsidRDefault="00F13508">
      <w:pPr>
        <w:pStyle w:val="TOC1"/>
        <w:tabs>
          <w:tab w:val="right" w:leader="underscore" w:pos="9010"/>
        </w:tabs>
        <w:rPr>
          <w:rFonts w:asciiTheme="minorHAnsi" w:eastAsiaTheme="minorEastAsia" w:hAnsiTheme="minorHAnsi" w:cstheme="minorBidi"/>
          <w:b w:val="0"/>
          <w:bCs w:val="0"/>
          <w:i w:val="0"/>
          <w:iCs w:val="0"/>
          <w:noProof/>
        </w:rPr>
      </w:pPr>
      <w:hyperlink w:anchor="_Toc517018636" w:history="1">
        <w:r w:rsidR="00F83AE0" w:rsidRPr="00EC5F4A">
          <w:rPr>
            <w:rStyle w:val="Hyperlink"/>
            <w:rFonts w:asciiTheme="minorHAnsi" w:hAnsiTheme="minorHAnsi"/>
            <w:noProof/>
          </w:rPr>
          <w:t>References</w:t>
        </w:r>
        <w:r w:rsidR="00F83AE0" w:rsidRPr="00EC5F4A">
          <w:rPr>
            <w:rFonts w:asciiTheme="minorHAnsi" w:hAnsiTheme="minorHAnsi"/>
            <w:noProof/>
            <w:webHidden/>
          </w:rPr>
          <w:tab/>
        </w:r>
        <w:r w:rsidR="00F83AE0" w:rsidRPr="00EC5F4A">
          <w:rPr>
            <w:rFonts w:asciiTheme="minorHAnsi" w:hAnsiTheme="minorHAnsi"/>
            <w:noProof/>
            <w:webHidden/>
          </w:rPr>
          <w:fldChar w:fldCharType="begin"/>
        </w:r>
        <w:r w:rsidR="00F83AE0" w:rsidRPr="00EC5F4A">
          <w:rPr>
            <w:rFonts w:asciiTheme="minorHAnsi" w:hAnsiTheme="minorHAnsi"/>
            <w:noProof/>
            <w:webHidden/>
          </w:rPr>
          <w:instrText xml:space="preserve"> PAGEREF _Toc517018636 \h </w:instrText>
        </w:r>
        <w:r w:rsidR="00F83AE0" w:rsidRPr="00EC5F4A">
          <w:rPr>
            <w:rFonts w:asciiTheme="minorHAnsi" w:hAnsiTheme="minorHAnsi"/>
            <w:noProof/>
            <w:webHidden/>
          </w:rPr>
        </w:r>
        <w:r w:rsidR="00F83AE0" w:rsidRPr="00EC5F4A">
          <w:rPr>
            <w:rFonts w:asciiTheme="minorHAnsi" w:hAnsiTheme="minorHAnsi"/>
            <w:noProof/>
            <w:webHidden/>
          </w:rPr>
          <w:fldChar w:fldCharType="separate"/>
        </w:r>
        <w:r w:rsidR="00F83AE0" w:rsidRPr="00EC5F4A">
          <w:rPr>
            <w:rFonts w:asciiTheme="minorHAnsi" w:hAnsiTheme="minorHAnsi"/>
            <w:noProof/>
            <w:webHidden/>
          </w:rPr>
          <w:t>43</w:t>
        </w:r>
        <w:r w:rsidR="00F83AE0" w:rsidRPr="00EC5F4A">
          <w:rPr>
            <w:rFonts w:asciiTheme="minorHAnsi" w:hAnsiTheme="minorHAnsi"/>
            <w:noProof/>
            <w:webHidden/>
          </w:rPr>
          <w:fldChar w:fldCharType="end"/>
        </w:r>
      </w:hyperlink>
    </w:p>
    <w:p w:rsidR="00867D68" w:rsidRPr="00EC5F4A" w:rsidRDefault="00F83AE0" w:rsidP="006D3681">
      <w:pPr>
        <w:pStyle w:val="Heading1"/>
        <w:ind w:left="720"/>
        <w:rPr>
          <w:rFonts w:asciiTheme="minorHAnsi" w:hAnsiTheme="minorHAnsi"/>
          <w:noProof/>
          <w:sz w:val="20"/>
          <w:szCs w:val="20"/>
        </w:rPr>
      </w:pPr>
      <w:r w:rsidRPr="00EC5F4A">
        <w:rPr>
          <w:rFonts w:asciiTheme="minorHAnsi" w:hAnsiTheme="minorHAnsi"/>
        </w:rPr>
        <w:fldChar w:fldCharType="end"/>
      </w:r>
      <w:r w:rsidRPr="00EC5F4A">
        <w:rPr>
          <w:rFonts w:asciiTheme="minorHAnsi" w:hAnsiTheme="minorHAnsi"/>
          <w:sz w:val="20"/>
          <w:szCs w:val="20"/>
        </w:rPr>
        <w:fldChar w:fldCharType="begin"/>
      </w:r>
      <w:r w:rsidR="00962C12" w:rsidRPr="00EC5F4A">
        <w:rPr>
          <w:rFonts w:asciiTheme="minorHAnsi" w:hAnsiTheme="minorHAnsi"/>
          <w:sz w:val="20"/>
          <w:szCs w:val="20"/>
        </w:rPr>
        <w:instrText xml:space="preserve"> TOC \h \z \c "Figure" </w:instrText>
      </w:r>
      <w:r w:rsidRPr="00EC5F4A">
        <w:rPr>
          <w:rFonts w:asciiTheme="minorHAnsi" w:hAnsiTheme="minorHAnsi"/>
          <w:sz w:val="20"/>
          <w:szCs w:val="20"/>
        </w:rPr>
        <w:fldChar w:fldCharType="separate"/>
      </w:r>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61" w:history="1">
        <w:r w:rsidR="00F83AE0" w:rsidRPr="00EC5F4A">
          <w:rPr>
            <w:rStyle w:val="Hyperlink"/>
            <w:rFonts w:asciiTheme="minorHAnsi" w:eastAsiaTheme="majorEastAsia" w:hAnsiTheme="minorHAnsi"/>
            <w:noProof/>
            <w:sz w:val="20"/>
            <w:szCs w:val="20"/>
          </w:rPr>
          <w:t>Figure 1 Health Expenditure as % of total government expenditure (Georgia VS Europe &amp; Central Asia Regional Overage)</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_Toc517018561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24</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62" w:history="1">
        <w:r w:rsidR="00F83AE0" w:rsidRPr="00EC5F4A">
          <w:rPr>
            <w:rStyle w:val="Hyperlink"/>
            <w:rFonts w:asciiTheme="minorHAnsi" w:eastAsiaTheme="majorEastAsia" w:hAnsiTheme="minorHAnsi"/>
            <w:noProof/>
            <w:sz w:val="20"/>
            <w:szCs w:val="20"/>
          </w:rPr>
          <w:t>Figure 2 Number of new HIV cases registered annually (2008 - 2017)</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_Toc517018562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24</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63" w:history="1">
        <w:r w:rsidR="00F83AE0" w:rsidRPr="00EC5F4A">
          <w:rPr>
            <w:rStyle w:val="Hyperlink"/>
            <w:rFonts w:asciiTheme="minorHAnsi" w:eastAsiaTheme="majorEastAsia" w:hAnsiTheme="minorHAnsi"/>
            <w:noProof/>
            <w:sz w:val="20"/>
            <w:szCs w:val="20"/>
          </w:rPr>
          <w:t>Figure 3 Main Routes of Transmission</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_Toc517018563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24</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64" w:history="1">
        <w:r w:rsidR="00F83AE0" w:rsidRPr="00EC5F4A">
          <w:rPr>
            <w:rStyle w:val="Hyperlink"/>
            <w:rFonts w:asciiTheme="minorHAnsi" w:eastAsiaTheme="majorEastAsia" w:hAnsiTheme="minorHAnsi"/>
            <w:noProof/>
            <w:sz w:val="20"/>
            <w:szCs w:val="20"/>
          </w:rPr>
          <w:t>Figure 4 HIV prevalence among MSM in 2007, 2010, 2012, 2015, Tbilisi based on non-weighted data (sample sizes 136, 271, 216 and 300 respectively)</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_Toc517018564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25</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65" w:history="1">
        <w:r w:rsidR="00F83AE0" w:rsidRPr="00EC5F4A">
          <w:rPr>
            <w:rStyle w:val="Hyperlink"/>
            <w:rFonts w:asciiTheme="minorHAnsi" w:eastAsiaTheme="majorEastAsia" w:hAnsiTheme="minorHAnsi"/>
            <w:noProof/>
            <w:sz w:val="20"/>
            <w:szCs w:val="20"/>
          </w:rPr>
          <w:t>Figure 5 Prevalence of injecting drug use in the adult population in EECA region,</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_Toc517018565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25</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66" w:history="1">
        <w:r w:rsidR="00F83AE0" w:rsidRPr="00EC5F4A">
          <w:rPr>
            <w:rStyle w:val="Hyperlink"/>
            <w:rFonts w:asciiTheme="minorHAnsi" w:eastAsiaTheme="majorEastAsia" w:hAnsiTheme="minorHAnsi"/>
            <w:noProof/>
            <w:sz w:val="20"/>
            <w:szCs w:val="20"/>
          </w:rPr>
          <w:t>Figure 6 PWID Population Size Estimations during 2011-2017</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_Toc517018566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25</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67" w:history="1">
        <w:r w:rsidR="00F83AE0" w:rsidRPr="00EC5F4A">
          <w:rPr>
            <w:rStyle w:val="Hyperlink"/>
            <w:rFonts w:asciiTheme="minorHAnsi" w:eastAsiaTheme="majorEastAsia" w:hAnsiTheme="minorHAnsi"/>
            <w:noProof/>
            <w:sz w:val="20"/>
            <w:szCs w:val="20"/>
          </w:rPr>
          <w:t>Figure 7 Prevalence among PWID (2009-2017)</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_Toc517018567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26</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68" w:history="1">
        <w:r w:rsidR="00F83AE0" w:rsidRPr="00EC5F4A">
          <w:rPr>
            <w:rStyle w:val="Hyperlink"/>
            <w:rFonts w:asciiTheme="minorHAnsi" w:eastAsiaTheme="majorEastAsia" w:hAnsiTheme="minorHAnsi"/>
            <w:noProof/>
            <w:sz w:val="20"/>
            <w:szCs w:val="20"/>
          </w:rPr>
          <w:t>Figure 8 HIV prevalence among Female Sex Workers in Tbilisi and Batumi (2002-2017)</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_Toc517018568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26</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69" w:history="1">
        <w:r w:rsidR="00F83AE0" w:rsidRPr="00EC5F4A">
          <w:rPr>
            <w:rStyle w:val="Hyperlink"/>
            <w:rFonts w:asciiTheme="minorHAnsi" w:eastAsiaTheme="majorEastAsia" w:hAnsiTheme="minorHAnsi"/>
            <w:noProof/>
            <w:sz w:val="20"/>
            <w:szCs w:val="20"/>
          </w:rPr>
          <w:t>Figure 9 HIV prevalence among prisoners in 2009, 2012, 2015 (sample sizes 211, 286 and 301, respectively)</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_Toc517018569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26</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70" w:history="1">
        <w:r w:rsidR="00F83AE0" w:rsidRPr="00EC5F4A">
          <w:rPr>
            <w:rStyle w:val="Hyperlink"/>
            <w:rFonts w:asciiTheme="minorHAnsi" w:eastAsiaTheme="majorEastAsia" w:hAnsiTheme="minorHAnsi"/>
            <w:noProof/>
            <w:sz w:val="20"/>
            <w:szCs w:val="20"/>
          </w:rPr>
          <w:t>Figure 10 Proportion of People with TB/HIV Receiving Treatment for Both Diseases</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_Toc517018570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27</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71" w:history="1">
        <w:r w:rsidR="00F83AE0" w:rsidRPr="00EC5F4A">
          <w:rPr>
            <w:rStyle w:val="Hyperlink"/>
            <w:rFonts w:asciiTheme="minorHAnsi" w:eastAsiaTheme="majorEastAsia" w:hAnsiTheme="minorHAnsi"/>
            <w:noProof/>
            <w:sz w:val="20"/>
            <w:szCs w:val="20"/>
          </w:rPr>
          <w:t>Figure 11 Progress towards 90-90-90 in Georgia, 2017</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_Toc517018571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27</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72" w:history="1">
        <w:r w:rsidR="00F83AE0" w:rsidRPr="00EC5F4A">
          <w:rPr>
            <w:rStyle w:val="Hyperlink"/>
            <w:rFonts w:asciiTheme="minorHAnsi" w:eastAsiaTheme="majorEastAsia" w:hAnsiTheme="minorHAnsi"/>
            <w:noProof/>
            <w:sz w:val="20"/>
            <w:szCs w:val="20"/>
          </w:rPr>
          <w:t>Figure 12 Coverage with preventive services (MSM population)</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_Toc517018572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27</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73" w:history="1">
        <w:r w:rsidR="00F83AE0" w:rsidRPr="00EC5F4A">
          <w:rPr>
            <w:rStyle w:val="Hyperlink"/>
            <w:rFonts w:asciiTheme="minorHAnsi" w:eastAsiaTheme="majorEastAsia" w:hAnsiTheme="minorHAnsi"/>
            <w:noProof/>
            <w:sz w:val="20"/>
            <w:szCs w:val="20"/>
          </w:rPr>
          <w:t>Figure 13: Total HIV Expenditures by source; (2011-2021)</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_Toc517018573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28</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74" w:history="1">
        <w:r w:rsidR="00F83AE0" w:rsidRPr="00EC5F4A">
          <w:rPr>
            <w:rStyle w:val="Hyperlink"/>
            <w:rFonts w:asciiTheme="minorHAnsi" w:eastAsiaTheme="majorEastAsia" w:hAnsiTheme="minorHAnsi"/>
            <w:noProof/>
            <w:sz w:val="20"/>
            <w:szCs w:val="20"/>
          </w:rPr>
          <w:t>Figure 14: HIV Expenditures by source for selected years</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_Toc517018574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28</w:t>
        </w:r>
        <w:r w:rsidR="00F83AE0" w:rsidRPr="00EC5F4A">
          <w:rPr>
            <w:rFonts w:asciiTheme="minorHAnsi" w:hAnsiTheme="minorHAnsi"/>
            <w:noProof/>
            <w:webHidden/>
            <w:sz w:val="20"/>
            <w:szCs w:val="20"/>
          </w:rPr>
          <w:fldChar w:fldCharType="end"/>
        </w:r>
      </w:hyperlink>
    </w:p>
    <w:p w:rsidR="00867D68" w:rsidRPr="00EC5F4A" w:rsidRDefault="00F13508">
      <w:pPr>
        <w:pStyle w:val="TableofFigures"/>
        <w:tabs>
          <w:tab w:val="right" w:leader="dot" w:pos="9010"/>
        </w:tabs>
        <w:rPr>
          <w:rFonts w:asciiTheme="minorHAnsi" w:eastAsiaTheme="minorEastAsia" w:hAnsiTheme="minorHAnsi" w:cstheme="minorBidi"/>
          <w:noProof/>
          <w:sz w:val="20"/>
          <w:szCs w:val="20"/>
        </w:rPr>
      </w:pPr>
      <w:hyperlink w:anchor="_Toc517018575" w:history="1">
        <w:r w:rsidR="00F83AE0" w:rsidRPr="00EC5F4A">
          <w:rPr>
            <w:rStyle w:val="Hyperlink"/>
            <w:rFonts w:asciiTheme="minorHAnsi" w:eastAsiaTheme="majorEastAsia" w:hAnsiTheme="minorHAnsi"/>
            <w:noProof/>
            <w:sz w:val="20"/>
            <w:szCs w:val="20"/>
          </w:rPr>
          <w:t>Figure 15 Funding by Priority area</w:t>
        </w:r>
        <w:r w:rsidR="00F83AE0" w:rsidRPr="00EC5F4A">
          <w:rPr>
            <w:rFonts w:asciiTheme="minorHAnsi" w:hAnsiTheme="minorHAnsi"/>
            <w:noProof/>
            <w:webHidden/>
            <w:sz w:val="20"/>
            <w:szCs w:val="20"/>
          </w:rPr>
          <w:tab/>
        </w:r>
        <w:r w:rsidR="00F83AE0" w:rsidRPr="00EC5F4A">
          <w:rPr>
            <w:rFonts w:asciiTheme="minorHAnsi" w:hAnsiTheme="minorHAnsi"/>
            <w:noProof/>
            <w:webHidden/>
            <w:sz w:val="20"/>
            <w:szCs w:val="20"/>
          </w:rPr>
          <w:fldChar w:fldCharType="begin"/>
        </w:r>
        <w:r w:rsidR="00F83AE0" w:rsidRPr="00EC5F4A">
          <w:rPr>
            <w:rFonts w:asciiTheme="minorHAnsi" w:hAnsiTheme="minorHAnsi"/>
            <w:noProof/>
            <w:webHidden/>
            <w:sz w:val="20"/>
            <w:szCs w:val="20"/>
          </w:rPr>
          <w:instrText xml:space="preserve"> PAGEREF _Toc517018575 \h </w:instrText>
        </w:r>
        <w:r w:rsidR="00F83AE0" w:rsidRPr="00EC5F4A">
          <w:rPr>
            <w:rFonts w:asciiTheme="minorHAnsi" w:hAnsiTheme="minorHAnsi"/>
            <w:noProof/>
            <w:webHidden/>
            <w:sz w:val="20"/>
            <w:szCs w:val="20"/>
          </w:rPr>
        </w:r>
        <w:r w:rsidR="00F83AE0" w:rsidRPr="00EC5F4A">
          <w:rPr>
            <w:rFonts w:asciiTheme="minorHAnsi" w:hAnsiTheme="minorHAnsi"/>
            <w:noProof/>
            <w:webHidden/>
            <w:sz w:val="20"/>
            <w:szCs w:val="20"/>
          </w:rPr>
          <w:fldChar w:fldCharType="separate"/>
        </w:r>
        <w:r w:rsidR="00F83AE0" w:rsidRPr="00EC5F4A">
          <w:rPr>
            <w:rFonts w:asciiTheme="minorHAnsi" w:hAnsiTheme="minorHAnsi"/>
            <w:noProof/>
            <w:webHidden/>
            <w:sz w:val="20"/>
            <w:szCs w:val="20"/>
          </w:rPr>
          <w:t>28</w:t>
        </w:r>
        <w:r w:rsidR="00F83AE0" w:rsidRPr="00EC5F4A">
          <w:rPr>
            <w:rFonts w:asciiTheme="minorHAnsi" w:hAnsiTheme="minorHAnsi"/>
            <w:noProof/>
            <w:webHidden/>
            <w:sz w:val="20"/>
            <w:szCs w:val="20"/>
          </w:rPr>
          <w:fldChar w:fldCharType="end"/>
        </w:r>
      </w:hyperlink>
    </w:p>
    <w:p w:rsidR="00B71093" w:rsidRPr="001426DE" w:rsidRDefault="00F83AE0" w:rsidP="006D3681">
      <w:pPr>
        <w:pStyle w:val="Heading1"/>
        <w:ind w:left="720"/>
        <w:rPr>
          <w:rFonts w:asciiTheme="minorHAnsi" w:hAnsiTheme="minorHAnsi"/>
          <w:sz w:val="22"/>
          <w:szCs w:val="22"/>
        </w:rPr>
        <w:sectPr w:rsidR="00B71093" w:rsidRPr="001426DE" w:rsidSect="00802D4C">
          <w:headerReference w:type="even" r:id="rId8"/>
          <w:headerReference w:type="default" r:id="rId9"/>
          <w:footerReference w:type="even" r:id="rId10"/>
          <w:footerReference w:type="default" r:id="rId11"/>
          <w:headerReference w:type="first" r:id="rId12"/>
          <w:pgSz w:w="11900" w:h="16840"/>
          <w:pgMar w:top="1440" w:right="1440" w:bottom="1440" w:left="1440" w:header="708" w:footer="708" w:gutter="0"/>
          <w:pgNumType w:start="0"/>
          <w:cols w:space="708"/>
          <w:titlePg/>
          <w:docGrid w:linePitch="360"/>
        </w:sectPr>
      </w:pPr>
      <w:r w:rsidRPr="00EC5F4A">
        <w:rPr>
          <w:rFonts w:asciiTheme="minorHAnsi" w:hAnsiTheme="minorHAnsi"/>
          <w:sz w:val="20"/>
          <w:szCs w:val="20"/>
        </w:rPr>
        <w:fldChar w:fldCharType="end"/>
      </w:r>
    </w:p>
    <w:p w:rsidR="000C7C7C" w:rsidRDefault="00F83AE0" w:rsidP="006D3681">
      <w:pPr>
        <w:pStyle w:val="Heading1"/>
        <w:ind w:left="720"/>
      </w:pPr>
      <w:bookmarkStart w:id="0" w:name="_Toc517018604"/>
      <w:r>
        <w:lastRenderedPageBreak/>
        <w:t>List of Abbreviations</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55"/>
      </w:tblGrid>
      <w:tr w:rsidR="00C0455B" w:rsidTr="00AB3EBB">
        <w:tc>
          <w:tcPr>
            <w:tcW w:w="1555" w:type="dxa"/>
          </w:tcPr>
          <w:p w:rsidR="00987DB9" w:rsidRDefault="00987DB9"/>
        </w:tc>
        <w:tc>
          <w:tcPr>
            <w:tcW w:w="7455" w:type="dxa"/>
          </w:tcPr>
          <w:p w:rsidR="00987DB9" w:rsidRDefault="00987DB9"/>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AIDS</w:t>
            </w:r>
          </w:p>
        </w:tc>
        <w:tc>
          <w:tcPr>
            <w:tcW w:w="7455" w:type="dxa"/>
          </w:tcPr>
          <w:p w:rsidR="00987DB9" w:rsidRPr="00E50DE3" w:rsidRDefault="00F83AE0">
            <w:pPr>
              <w:rPr>
                <w:rFonts w:asciiTheme="minorHAnsi" w:hAnsiTheme="minorHAnsi" w:cstheme="minorHAnsi"/>
              </w:rPr>
            </w:pPr>
            <w:r w:rsidRPr="00E50DE3">
              <w:rPr>
                <w:rFonts w:asciiTheme="minorHAnsi" w:eastAsiaTheme="majorEastAsia" w:hAnsiTheme="minorHAnsi" w:cstheme="minorHAnsi"/>
                <w:shd w:val="clear" w:color="auto" w:fill="FFFFFF"/>
              </w:rPr>
              <w:t>Acquired Immunodeficiency Syndrome</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ART</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Antiretroviral Therapy</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ARV</w:t>
            </w:r>
          </w:p>
        </w:tc>
        <w:tc>
          <w:tcPr>
            <w:tcW w:w="7455" w:type="dxa"/>
          </w:tcPr>
          <w:p w:rsidR="00987DB9" w:rsidRPr="009B69B6" w:rsidRDefault="00F83AE0">
            <w:pPr>
              <w:rPr>
                <w:rFonts w:asciiTheme="minorHAnsi" w:hAnsiTheme="minorHAnsi" w:cstheme="minorHAnsi"/>
              </w:rPr>
            </w:pPr>
            <w:r>
              <w:rPr>
                <w:rFonts w:asciiTheme="minorHAnsi" w:hAnsiTheme="minorHAnsi" w:cstheme="minorHAnsi"/>
              </w:rPr>
              <w:t>Antiretroviral</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BDD</w:t>
            </w:r>
          </w:p>
        </w:tc>
        <w:tc>
          <w:tcPr>
            <w:tcW w:w="7455" w:type="dxa"/>
          </w:tcPr>
          <w:p w:rsidR="00987DB9" w:rsidRDefault="00F83AE0" w:rsidP="00294115">
            <w:pPr>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Basic Data and Directions</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Bio BSS</w:t>
            </w:r>
          </w:p>
        </w:tc>
        <w:tc>
          <w:tcPr>
            <w:tcW w:w="7455" w:type="dxa"/>
          </w:tcPr>
          <w:p w:rsidR="00987DB9" w:rsidRPr="00E50DE3" w:rsidRDefault="00F83AE0">
            <w:pPr>
              <w:rPr>
                <w:rFonts w:asciiTheme="minorHAnsi" w:hAnsiTheme="minorHAnsi" w:cstheme="minorHAnsi"/>
              </w:rPr>
            </w:pPr>
            <w:r w:rsidRPr="009B69B6">
              <w:rPr>
                <w:rFonts w:asciiTheme="minorHAnsi" w:hAnsiTheme="minorHAnsi" w:cstheme="minorHAnsi"/>
              </w:rPr>
              <w:t>Bio-Behavioral Surveillance Survey</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 xml:space="preserve">CBO </w:t>
            </w:r>
          </w:p>
        </w:tc>
        <w:tc>
          <w:tcPr>
            <w:tcW w:w="7455" w:type="dxa"/>
          </w:tcPr>
          <w:p w:rsidR="00987DB9" w:rsidRDefault="00F83AE0">
            <w:pPr>
              <w:rPr>
                <w:rFonts w:asciiTheme="minorHAnsi" w:hAnsiTheme="minorHAnsi" w:cstheme="minorHAnsi"/>
              </w:rPr>
            </w:pPr>
            <w:r>
              <w:rPr>
                <w:rFonts w:asciiTheme="minorHAnsi" w:hAnsiTheme="minorHAnsi" w:cstheme="minorHAnsi"/>
              </w:rPr>
              <w:t>Community Based Organization</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CI</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Confidence Interval</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CSO</w:t>
            </w:r>
          </w:p>
        </w:tc>
        <w:tc>
          <w:tcPr>
            <w:tcW w:w="7455" w:type="dxa"/>
          </w:tcPr>
          <w:p w:rsidR="00987DB9" w:rsidRDefault="00F83AE0">
            <w:pPr>
              <w:rPr>
                <w:rFonts w:asciiTheme="minorHAnsi" w:hAnsiTheme="minorHAnsi" w:cstheme="minorHAnsi"/>
              </w:rPr>
            </w:pPr>
            <w:r>
              <w:rPr>
                <w:rFonts w:asciiTheme="minorHAnsi" w:hAnsiTheme="minorHAnsi" w:cstheme="minorHAnsi"/>
              </w:rPr>
              <w:t>Civil Society Organization</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EECA</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Eastern Europe and Central Asia</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EMTCT</w:t>
            </w:r>
          </w:p>
        </w:tc>
        <w:tc>
          <w:tcPr>
            <w:tcW w:w="7455" w:type="dxa"/>
          </w:tcPr>
          <w:p w:rsidR="00987DB9" w:rsidRDefault="00F83AE0">
            <w:pPr>
              <w:rPr>
                <w:rFonts w:asciiTheme="minorHAnsi" w:hAnsiTheme="minorHAnsi" w:cstheme="minorHAnsi"/>
              </w:rPr>
            </w:pPr>
            <w:r>
              <w:rPr>
                <w:rFonts w:asciiTheme="minorHAnsi" w:hAnsiTheme="minorHAnsi" w:cstheme="minorHAnsi"/>
              </w:rPr>
              <w:t>Elimination of Mother to Child Transmission</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EU</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European Union</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FSW</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Female Sex Worker</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GEL</w:t>
            </w:r>
          </w:p>
        </w:tc>
        <w:tc>
          <w:tcPr>
            <w:tcW w:w="7455" w:type="dxa"/>
          </w:tcPr>
          <w:p w:rsidR="00987DB9" w:rsidRDefault="00F83AE0">
            <w:pPr>
              <w:rPr>
                <w:rFonts w:asciiTheme="minorHAnsi" w:hAnsiTheme="minorHAnsi" w:cstheme="minorHAnsi"/>
              </w:rPr>
            </w:pPr>
            <w:r>
              <w:rPr>
                <w:rFonts w:asciiTheme="minorHAnsi" w:hAnsiTheme="minorHAnsi" w:cstheme="minorHAnsi"/>
              </w:rPr>
              <w:t>Georgian Lari</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GHRN</w:t>
            </w:r>
          </w:p>
        </w:tc>
        <w:tc>
          <w:tcPr>
            <w:tcW w:w="7455" w:type="dxa"/>
          </w:tcPr>
          <w:p w:rsidR="00987DB9" w:rsidRDefault="00F83AE0" w:rsidP="00294115">
            <w:pPr>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Georgia Harm Reduction Network</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GoG</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Government of Georgia</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HBV</w:t>
            </w:r>
          </w:p>
        </w:tc>
        <w:tc>
          <w:tcPr>
            <w:tcW w:w="7455" w:type="dxa"/>
          </w:tcPr>
          <w:p w:rsidR="00987DB9" w:rsidRDefault="00F83AE0">
            <w:pPr>
              <w:rPr>
                <w:rFonts w:asciiTheme="minorHAnsi" w:hAnsiTheme="minorHAnsi" w:cstheme="minorHAnsi"/>
              </w:rPr>
            </w:pPr>
            <w:r>
              <w:rPr>
                <w:rFonts w:asciiTheme="minorHAnsi" w:hAnsiTheme="minorHAnsi" w:cstheme="minorHAnsi"/>
              </w:rPr>
              <w:t>Hepatitis B Virus</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HCV</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Hepatitis C Virus</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HIV</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Human Immunodeficiency Virus</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HR</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Harm Reduction</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HTS</w:t>
            </w:r>
          </w:p>
        </w:tc>
        <w:tc>
          <w:tcPr>
            <w:tcW w:w="7455" w:type="dxa"/>
          </w:tcPr>
          <w:p w:rsidR="00987DB9" w:rsidRDefault="00F83AE0" w:rsidP="00294115">
            <w:pPr>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HIV Testing Services</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KP</w:t>
            </w:r>
          </w:p>
        </w:tc>
        <w:tc>
          <w:tcPr>
            <w:tcW w:w="7455" w:type="dxa"/>
          </w:tcPr>
          <w:p w:rsidR="00987DB9" w:rsidRDefault="00F83AE0">
            <w:pPr>
              <w:rPr>
                <w:rFonts w:asciiTheme="minorHAnsi" w:hAnsiTheme="minorHAnsi" w:cstheme="minorHAnsi"/>
              </w:rPr>
            </w:pPr>
            <w:r>
              <w:rPr>
                <w:rFonts w:asciiTheme="minorHAnsi" w:hAnsiTheme="minorHAnsi" w:cstheme="minorHAnsi"/>
              </w:rPr>
              <w:t>Key Population</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M&amp;E</w:t>
            </w:r>
          </w:p>
        </w:tc>
        <w:tc>
          <w:tcPr>
            <w:tcW w:w="7455" w:type="dxa"/>
          </w:tcPr>
          <w:p w:rsidR="00987DB9" w:rsidRDefault="00F83AE0" w:rsidP="00294115">
            <w:pPr>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Monitoring and Evaluation</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MoLHSA</w:t>
            </w:r>
          </w:p>
        </w:tc>
        <w:tc>
          <w:tcPr>
            <w:tcW w:w="7455" w:type="dxa"/>
          </w:tcPr>
          <w:p w:rsidR="00987DB9" w:rsidRDefault="00F83AE0">
            <w:pPr>
              <w:rPr>
                <w:rFonts w:asciiTheme="minorHAnsi" w:hAnsiTheme="minorHAnsi" w:cstheme="minorHAnsi"/>
              </w:rPr>
            </w:pPr>
            <w:r>
              <w:rPr>
                <w:rFonts w:asciiTheme="minorHAnsi" w:hAnsiTheme="minorHAnsi" w:cstheme="minorHAnsi"/>
              </w:rPr>
              <w:t xml:space="preserve">Ministry of Labor, Health and Social Affairs </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MSM</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Men who have sex with men</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NGO</w:t>
            </w:r>
          </w:p>
        </w:tc>
        <w:tc>
          <w:tcPr>
            <w:tcW w:w="7455" w:type="dxa"/>
          </w:tcPr>
          <w:p w:rsidR="00987DB9" w:rsidRDefault="00F83AE0">
            <w:pPr>
              <w:rPr>
                <w:rFonts w:asciiTheme="minorHAnsi" w:hAnsiTheme="minorHAnsi" w:cstheme="minorHAnsi"/>
              </w:rPr>
            </w:pPr>
            <w:r>
              <w:rPr>
                <w:rFonts w:asciiTheme="minorHAnsi" w:hAnsiTheme="minorHAnsi" w:cstheme="minorHAnsi"/>
              </w:rPr>
              <w:t>Non-Governmental Organization</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NSP</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Needle and Syringe Program</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NSWP</w:t>
            </w:r>
          </w:p>
        </w:tc>
        <w:tc>
          <w:tcPr>
            <w:tcW w:w="7455" w:type="dxa"/>
          </w:tcPr>
          <w:p w:rsidR="00987DB9" w:rsidRPr="00AB5620" w:rsidRDefault="00F83AE0">
            <w:pPr>
              <w:rPr>
                <w:rFonts w:asciiTheme="minorHAnsi" w:hAnsiTheme="minorHAnsi"/>
                <w:color w:val="000000" w:themeColor="text1"/>
              </w:rPr>
            </w:pPr>
            <w:r w:rsidRPr="00294115">
              <w:rPr>
                <w:rFonts w:asciiTheme="minorHAnsi" w:hAnsiTheme="minorHAnsi"/>
                <w:color w:val="000000" w:themeColor="text1"/>
                <w:shd w:val="clear" w:color="auto" w:fill="FFFFFF"/>
              </w:rPr>
              <w:t>Network of Sex Work Projects</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Ob/Gyn</w:t>
            </w:r>
          </w:p>
        </w:tc>
        <w:tc>
          <w:tcPr>
            <w:tcW w:w="7455" w:type="dxa"/>
          </w:tcPr>
          <w:p w:rsidR="00987DB9" w:rsidRDefault="00F83AE0">
            <w:pPr>
              <w:rPr>
                <w:rFonts w:asciiTheme="minorHAnsi" w:hAnsiTheme="minorHAnsi" w:cstheme="minorHAnsi"/>
              </w:rPr>
            </w:pPr>
            <w:r>
              <w:rPr>
                <w:rFonts w:asciiTheme="minorHAnsi" w:hAnsiTheme="minorHAnsi" w:cstheme="minorHAnsi"/>
              </w:rPr>
              <w:t>Obstetrics and Gynecologist</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OST</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Opioid Substitution Therapy</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PLHIV</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People Leaving with HIV</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PMTCT</w:t>
            </w:r>
          </w:p>
        </w:tc>
        <w:tc>
          <w:tcPr>
            <w:tcW w:w="7455" w:type="dxa"/>
          </w:tcPr>
          <w:p w:rsidR="00987DB9" w:rsidRDefault="00F83AE0">
            <w:pPr>
              <w:rPr>
                <w:rFonts w:asciiTheme="minorHAnsi" w:hAnsiTheme="minorHAnsi" w:cstheme="minorHAnsi"/>
              </w:rPr>
            </w:pPr>
            <w:r w:rsidRPr="004D3DFB">
              <w:rPr>
                <w:rFonts w:asciiTheme="minorHAnsi" w:hAnsiTheme="minorHAnsi" w:cstheme="minorHAnsi"/>
              </w:rPr>
              <w:t>Prevention of mother-to-child transmission</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PSE</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Population Size Estimation</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PWID</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People who inject drugs</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SDG</w:t>
            </w:r>
          </w:p>
        </w:tc>
        <w:tc>
          <w:tcPr>
            <w:tcW w:w="7455" w:type="dxa"/>
          </w:tcPr>
          <w:p w:rsidR="00987DB9" w:rsidRDefault="00F83AE0">
            <w:pPr>
              <w:rPr>
                <w:rFonts w:asciiTheme="minorHAnsi" w:hAnsiTheme="minorHAnsi" w:cstheme="minorHAnsi"/>
              </w:rPr>
            </w:pPr>
            <w:r>
              <w:rPr>
                <w:rFonts w:asciiTheme="minorHAnsi" w:hAnsiTheme="minorHAnsi" w:cstheme="minorHAnsi"/>
              </w:rPr>
              <w:t>Sustainable Development Goals</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STI</w:t>
            </w:r>
          </w:p>
        </w:tc>
        <w:tc>
          <w:tcPr>
            <w:tcW w:w="7455" w:type="dxa"/>
          </w:tcPr>
          <w:p w:rsidR="00987DB9" w:rsidRDefault="00F83AE0">
            <w:pPr>
              <w:rPr>
                <w:rFonts w:asciiTheme="minorHAnsi" w:hAnsiTheme="minorHAnsi" w:cstheme="minorHAnsi"/>
              </w:rPr>
            </w:pPr>
            <w:r>
              <w:rPr>
                <w:rFonts w:asciiTheme="minorHAnsi" w:hAnsiTheme="minorHAnsi" w:cstheme="minorHAnsi"/>
              </w:rPr>
              <w:t>Sexually Transmitted Infections</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SVM</w:t>
            </w:r>
          </w:p>
        </w:tc>
        <w:tc>
          <w:tcPr>
            <w:tcW w:w="7455" w:type="dxa"/>
          </w:tcPr>
          <w:p w:rsidR="00987DB9" w:rsidRPr="00294115" w:rsidRDefault="00F83AE0" w:rsidP="00294115">
            <w:pPr>
              <w:rPr>
                <w:rFonts w:asciiTheme="minorHAnsi" w:hAnsiTheme="minorHAnsi"/>
                <w:color w:val="000000" w:themeColor="text1"/>
                <w:shd w:val="clear" w:color="auto" w:fill="FFFFFF"/>
              </w:rPr>
            </w:pPr>
            <w:r>
              <w:rPr>
                <w:rFonts w:asciiTheme="minorHAnsi" w:hAnsiTheme="minorHAnsi"/>
                <w:color w:val="000000" w:themeColor="text1"/>
                <w:shd w:val="clear" w:color="auto" w:fill="FFFFFF"/>
              </w:rPr>
              <w:t>Syringe Vending Machines</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SW</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Sex Worker</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TB</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Tuberculosis</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TGF</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The Global Fund</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TP</w:t>
            </w:r>
          </w:p>
        </w:tc>
        <w:tc>
          <w:tcPr>
            <w:tcW w:w="7455" w:type="dxa"/>
          </w:tcPr>
          <w:p w:rsidR="00987DB9" w:rsidRDefault="00F83AE0">
            <w:pPr>
              <w:rPr>
                <w:rFonts w:asciiTheme="minorHAnsi" w:hAnsiTheme="minorHAnsi" w:cstheme="minorHAnsi"/>
              </w:rPr>
            </w:pPr>
            <w:r>
              <w:rPr>
                <w:rFonts w:asciiTheme="minorHAnsi" w:hAnsiTheme="minorHAnsi" w:cstheme="minorHAnsi"/>
              </w:rPr>
              <w:t>Transition Plan</w:t>
            </w:r>
          </w:p>
        </w:tc>
      </w:tr>
      <w:tr w:rsidR="00C0455B" w:rsidTr="00AB3EBB">
        <w:tc>
          <w:tcPr>
            <w:tcW w:w="1555" w:type="dxa"/>
          </w:tcPr>
          <w:p w:rsidR="00987DB9" w:rsidRPr="00E50DE3" w:rsidRDefault="00F83AE0">
            <w:pPr>
              <w:rPr>
                <w:rFonts w:asciiTheme="minorHAnsi" w:hAnsiTheme="minorHAnsi" w:cstheme="minorHAnsi"/>
              </w:rPr>
            </w:pPr>
            <w:r>
              <w:rPr>
                <w:rFonts w:asciiTheme="minorHAnsi" w:hAnsiTheme="minorHAnsi" w:cstheme="minorHAnsi"/>
              </w:rPr>
              <w:t>UN</w:t>
            </w:r>
          </w:p>
        </w:tc>
        <w:tc>
          <w:tcPr>
            <w:tcW w:w="7455" w:type="dxa"/>
          </w:tcPr>
          <w:p w:rsidR="00987DB9" w:rsidRDefault="00F83AE0">
            <w:pPr>
              <w:rPr>
                <w:rFonts w:asciiTheme="minorHAnsi" w:hAnsiTheme="minorHAnsi" w:cstheme="minorHAnsi"/>
              </w:rPr>
            </w:pPr>
            <w:r>
              <w:rPr>
                <w:rFonts w:asciiTheme="minorHAnsi" w:hAnsiTheme="minorHAnsi" w:cstheme="minorHAnsi"/>
              </w:rPr>
              <w:t>United Nations</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UNAIDS</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Joint United Nations Program</w:t>
            </w:r>
            <w:r w:rsidRPr="009B69B6">
              <w:rPr>
                <w:rFonts w:asciiTheme="minorHAnsi" w:hAnsiTheme="minorHAnsi" w:cstheme="minorHAnsi"/>
              </w:rPr>
              <w:t xml:space="preserve"> on HIV/AIDS</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UNDP</w:t>
            </w:r>
          </w:p>
        </w:tc>
        <w:tc>
          <w:tcPr>
            <w:tcW w:w="7455" w:type="dxa"/>
          </w:tcPr>
          <w:p w:rsidR="00987DB9" w:rsidRDefault="00F83AE0">
            <w:pPr>
              <w:rPr>
                <w:rFonts w:asciiTheme="minorHAnsi" w:hAnsiTheme="minorHAnsi" w:cstheme="minorHAnsi"/>
              </w:rPr>
            </w:pPr>
            <w:r>
              <w:rPr>
                <w:rFonts w:asciiTheme="minorHAnsi" w:hAnsiTheme="minorHAnsi" w:cstheme="minorHAnsi"/>
              </w:rPr>
              <w:t>United Nations Development Program</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UNFPA</w:t>
            </w:r>
          </w:p>
        </w:tc>
        <w:tc>
          <w:tcPr>
            <w:tcW w:w="7455" w:type="dxa"/>
          </w:tcPr>
          <w:p w:rsidR="00987DB9" w:rsidRDefault="00F83AE0">
            <w:pPr>
              <w:rPr>
                <w:rFonts w:asciiTheme="minorHAnsi" w:hAnsiTheme="minorHAnsi" w:cstheme="minorHAnsi"/>
              </w:rPr>
            </w:pPr>
            <w:r>
              <w:rPr>
                <w:rFonts w:asciiTheme="minorHAnsi" w:hAnsiTheme="minorHAnsi" w:cstheme="minorHAnsi"/>
              </w:rPr>
              <w:t>United Nations Population Fund</w:t>
            </w:r>
          </w:p>
        </w:tc>
      </w:tr>
      <w:tr w:rsidR="00C0455B" w:rsidTr="00AB3EBB">
        <w:tc>
          <w:tcPr>
            <w:tcW w:w="1555" w:type="dxa"/>
          </w:tcPr>
          <w:p w:rsidR="00987DB9" w:rsidRDefault="00F83AE0">
            <w:pPr>
              <w:rPr>
                <w:rFonts w:asciiTheme="minorHAnsi" w:hAnsiTheme="minorHAnsi" w:cstheme="minorHAnsi"/>
              </w:rPr>
            </w:pPr>
            <w:r>
              <w:rPr>
                <w:rFonts w:asciiTheme="minorHAnsi" w:hAnsiTheme="minorHAnsi" w:cstheme="minorHAnsi"/>
              </w:rPr>
              <w:t>VCT</w:t>
            </w:r>
          </w:p>
        </w:tc>
        <w:tc>
          <w:tcPr>
            <w:tcW w:w="7455" w:type="dxa"/>
          </w:tcPr>
          <w:p w:rsidR="00987DB9" w:rsidRDefault="00F83AE0">
            <w:pPr>
              <w:rPr>
                <w:rFonts w:asciiTheme="minorHAnsi" w:hAnsiTheme="minorHAnsi" w:cstheme="minorHAnsi"/>
              </w:rPr>
            </w:pPr>
            <w:r>
              <w:rPr>
                <w:rFonts w:asciiTheme="minorHAnsi" w:hAnsiTheme="minorHAnsi" w:cstheme="minorHAnsi"/>
              </w:rPr>
              <w:t>Voluntary Counseling and Testing</w:t>
            </w:r>
          </w:p>
        </w:tc>
      </w:tr>
      <w:tr w:rsidR="00C0455B" w:rsidTr="00AB3EBB">
        <w:tc>
          <w:tcPr>
            <w:tcW w:w="1555" w:type="dxa"/>
          </w:tcPr>
          <w:p w:rsidR="00987DB9" w:rsidRPr="00E50DE3" w:rsidRDefault="00F83AE0">
            <w:pPr>
              <w:rPr>
                <w:rFonts w:asciiTheme="minorHAnsi" w:hAnsiTheme="minorHAnsi" w:cstheme="minorHAnsi"/>
              </w:rPr>
            </w:pPr>
            <w:r w:rsidRPr="00E50DE3">
              <w:rPr>
                <w:rFonts w:asciiTheme="minorHAnsi" w:hAnsiTheme="minorHAnsi" w:cstheme="minorHAnsi"/>
              </w:rPr>
              <w:t>WHO</w:t>
            </w:r>
          </w:p>
        </w:tc>
        <w:tc>
          <w:tcPr>
            <w:tcW w:w="7455" w:type="dxa"/>
          </w:tcPr>
          <w:p w:rsidR="00987DB9" w:rsidRPr="00E50DE3" w:rsidRDefault="00F83AE0">
            <w:pPr>
              <w:rPr>
                <w:rFonts w:asciiTheme="minorHAnsi" w:hAnsiTheme="minorHAnsi" w:cstheme="minorHAnsi"/>
              </w:rPr>
            </w:pPr>
            <w:r>
              <w:rPr>
                <w:rFonts w:asciiTheme="minorHAnsi" w:hAnsiTheme="minorHAnsi" w:cstheme="minorHAnsi"/>
              </w:rPr>
              <w:t>World Health Organization</w:t>
            </w:r>
          </w:p>
        </w:tc>
      </w:tr>
    </w:tbl>
    <w:p w:rsidR="00E50DE3" w:rsidRDefault="00F83AE0">
      <w:pPr>
        <w:rPr>
          <w:rFonts w:asciiTheme="majorHAnsi" w:eastAsiaTheme="majorEastAsia" w:hAnsiTheme="majorHAnsi" w:cstheme="majorBidi"/>
          <w:color w:val="2F5496" w:themeColor="accent1" w:themeShade="BF"/>
          <w:sz w:val="32"/>
          <w:szCs w:val="32"/>
        </w:rPr>
      </w:pPr>
      <w:r>
        <w:br w:type="page"/>
      </w:r>
    </w:p>
    <w:p w:rsidR="00154465" w:rsidRDefault="00F83AE0" w:rsidP="006D3681">
      <w:pPr>
        <w:pStyle w:val="Heading1"/>
        <w:ind w:left="720"/>
      </w:pPr>
      <w:bookmarkStart w:id="1" w:name="_Toc517018605"/>
      <w:r>
        <w:lastRenderedPageBreak/>
        <w:t>Background</w:t>
      </w:r>
      <w:bookmarkEnd w:id="1"/>
    </w:p>
    <w:p w:rsidR="002958E5" w:rsidRPr="00F71E9C" w:rsidRDefault="002958E5" w:rsidP="002958E5">
      <w:pPr>
        <w:rPr>
          <w:rFonts w:asciiTheme="minorHAnsi" w:hAnsiTheme="minorHAnsi" w:cstheme="minorHAnsi"/>
        </w:rPr>
      </w:pPr>
    </w:p>
    <w:p w:rsidR="008E26E3" w:rsidRPr="00F71E9C" w:rsidRDefault="00F83AE0" w:rsidP="002958E5">
      <w:pPr>
        <w:rPr>
          <w:rFonts w:asciiTheme="minorHAnsi" w:hAnsiTheme="minorHAnsi" w:cstheme="minorHAnsi"/>
          <w:sz w:val="22"/>
          <w:szCs w:val="22"/>
        </w:rPr>
      </w:pPr>
      <w:r w:rsidRPr="00F71E9C">
        <w:rPr>
          <w:rFonts w:asciiTheme="minorHAnsi" w:hAnsiTheme="minorHAnsi" w:cstheme="minorHAnsi"/>
          <w:sz w:val="22"/>
          <w:szCs w:val="22"/>
        </w:rPr>
        <w:t>The government of Georgia has declared health of countr</w:t>
      </w:r>
      <w:r w:rsidR="00E91569">
        <w:rPr>
          <w:rFonts w:asciiTheme="minorHAnsi" w:hAnsiTheme="minorHAnsi" w:cstheme="minorHAnsi"/>
          <w:sz w:val="22"/>
          <w:szCs w:val="22"/>
        </w:rPr>
        <w:t>y’</w:t>
      </w:r>
      <w:r w:rsidRPr="00F71E9C">
        <w:rPr>
          <w:rFonts w:asciiTheme="minorHAnsi" w:hAnsiTheme="minorHAnsi" w:cstheme="minorHAnsi"/>
          <w:sz w:val="22"/>
          <w:szCs w:val="22"/>
        </w:rPr>
        <w:t xml:space="preserve">s population as the priority when </w:t>
      </w:r>
      <w:r w:rsidR="00A633C1" w:rsidRPr="00F71E9C">
        <w:rPr>
          <w:rFonts w:asciiTheme="minorHAnsi" w:hAnsiTheme="minorHAnsi" w:cstheme="minorHAnsi"/>
          <w:sz w:val="22"/>
          <w:szCs w:val="22"/>
        </w:rPr>
        <w:t xml:space="preserve">announced Universal Health Program in </w:t>
      </w:r>
      <w:r w:rsidR="003D738C" w:rsidRPr="00F71E9C">
        <w:rPr>
          <w:rFonts w:asciiTheme="minorHAnsi" w:hAnsiTheme="minorHAnsi" w:cstheme="minorHAnsi"/>
          <w:sz w:val="22"/>
          <w:szCs w:val="22"/>
        </w:rPr>
        <w:t>2013</w:t>
      </w:r>
      <w:r>
        <w:rPr>
          <w:rStyle w:val="FootnoteReference"/>
          <w:rFonts w:asciiTheme="minorHAnsi" w:hAnsiTheme="minorHAnsi" w:cstheme="minorHAnsi"/>
          <w:sz w:val="22"/>
          <w:szCs w:val="22"/>
        </w:rPr>
        <w:footnoteReference w:id="1"/>
      </w:r>
      <w:r w:rsidRPr="00F71E9C">
        <w:rPr>
          <w:rFonts w:asciiTheme="minorHAnsi" w:hAnsiTheme="minorHAnsi" w:cstheme="minorHAnsi"/>
          <w:sz w:val="22"/>
          <w:szCs w:val="22"/>
        </w:rPr>
        <w:t xml:space="preserve"> and</w:t>
      </w:r>
      <w:r w:rsidRPr="00F71E9C">
        <w:rPr>
          <w:rFonts w:asciiTheme="minorHAnsi" w:hAnsiTheme="minorHAnsi" w:cstheme="minorHAnsi"/>
          <w:sz w:val="22"/>
          <w:szCs w:val="22"/>
          <w:lang w:val="ka-GE"/>
        </w:rPr>
        <w:t xml:space="preserve"> </w:t>
      </w:r>
      <w:r w:rsidRPr="00F71E9C">
        <w:rPr>
          <w:rFonts w:asciiTheme="minorHAnsi" w:hAnsiTheme="minorHAnsi" w:cstheme="minorHAnsi"/>
          <w:sz w:val="22"/>
          <w:szCs w:val="22"/>
        </w:rPr>
        <w:t>approved 2014-2020 State Concept of Health Care System of Georgia for Universal Health Care and Quality Control for the Protection of Patient’s Rights in 2014</w:t>
      </w:r>
      <w:r>
        <w:rPr>
          <w:rStyle w:val="FootnoteReference"/>
          <w:rFonts w:asciiTheme="minorHAnsi" w:hAnsiTheme="minorHAnsi" w:cstheme="minorHAnsi"/>
          <w:sz w:val="22"/>
          <w:szCs w:val="22"/>
        </w:rPr>
        <w:footnoteReference w:id="2"/>
      </w:r>
      <w:r w:rsidRPr="00F71E9C">
        <w:rPr>
          <w:rFonts w:asciiTheme="minorHAnsi" w:hAnsiTheme="minorHAnsi" w:cstheme="minorHAnsi"/>
          <w:sz w:val="22"/>
          <w:szCs w:val="22"/>
        </w:rPr>
        <w:t>. HIV/AIDS is acknowledged as one of the priority communicable diseases along with Hepatitis C, Tuberculosis, and other vaccine-preventable diseases. With the introduction of Hep C elimination program in 2015, Georgia bec</w:t>
      </w:r>
      <w:r w:rsidR="00E91569">
        <w:rPr>
          <w:rFonts w:asciiTheme="minorHAnsi" w:hAnsiTheme="minorHAnsi" w:cstheme="minorHAnsi"/>
          <w:sz w:val="22"/>
          <w:szCs w:val="22"/>
        </w:rPr>
        <w:t>a</w:t>
      </w:r>
      <w:r w:rsidRPr="00F71E9C">
        <w:rPr>
          <w:rFonts w:asciiTheme="minorHAnsi" w:hAnsiTheme="minorHAnsi" w:cstheme="minorHAnsi"/>
          <w:sz w:val="22"/>
          <w:szCs w:val="22"/>
        </w:rPr>
        <w:t>me the first country in WHO European Region to provide universal coverage with Hepatitis C treatment for the entire population.</w:t>
      </w:r>
    </w:p>
    <w:p w:rsidR="008E26E3" w:rsidRPr="00F71E9C" w:rsidRDefault="008E26E3" w:rsidP="002958E5">
      <w:pPr>
        <w:rPr>
          <w:rFonts w:asciiTheme="minorHAnsi" w:hAnsiTheme="minorHAnsi" w:cstheme="minorHAnsi"/>
          <w:sz w:val="22"/>
          <w:szCs w:val="22"/>
        </w:rPr>
      </w:pPr>
    </w:p>
    <w:p w:rsidR="008E26E3" w:rsidRPr="00F71E9C" w:rsidRDefault="00F83AE0" w:rsidP="0028414E">
      <w:pPr>
        <w:autoSpaceDE w:val="0"/>
        <w:autoSpaceDN w:val="0"/>
        <w:adjustRightInd w:val="0"/>
        <w:rPr>
          <w:rFonts w:asciiTheme="minorHAnsi" w:hAnsiTheme="minorHAnsi" w:cstheme="minorHAnsi"/>
          <w:color w:val="000000"/>
          <w:sz w:val="22"/>
          <w:szCs w:val="22"/>
        </w:rPr>
      </w:pPr>
      <w:r w:rsidRPr="00F71E9C">
        <w:rPr>
          <w:rFonts w:asciiTheme="minorHAnsi" w:hAnsiTheme="minorHAnsi" w:cstheme="minorHAnsi"/>
          <w:color w:val="000000"/>
          <w:sz w:val="22"/>
          <w:szCs w:val="22"/>
        </w:rPr>
        <w:t xml:space="preserve">The spending on health in the general government budget varied from under 4% to over </w:t>
      </w:r>
      <w:r w:rsidR="00282A5A">
        <w:rPr>
          <w:rFonts w:asciiTheme="minorHAnsi" w:hAnsiTheme="minorHAnsi" w:cstheme="minorHAnsi"/>
          <w:color w:val="000000"/>
          <w:sz w:val="22"/>
          <w:szCs w:val="22"/>
        </w:rPr>
        <w:t>5</w:t>
      </w:r>
      <w:r w:rsidRPr="00F71E9C">
        <w:rPr>
          <w:rFonts w:asciiTheme="minorHAnsi" w:hAnsiTheme="minorHAnsi" w:cstheme="minorHAnsi"/>
          <w:color w:val="000000"/>
          <w:sz w:val="22"/>
          <w:szCs w:val="22"/>
        </w:rPr>
        <w:t xml:space="preserve">% during </w:t>
      </w:r>
      <w:r w:rsidR="00282A5A">
        <w:rPr>
          <w:rFonts w:asciiTheme="minorHAnsi" w:hAnsiTheme="minorHAnsi" w:cstheme="minorHAnsi"/>
          <w:color w:val="000000"/>
          <w:sz w:val="22"/>
          <w:szCs w:val="22"/>
        </w:rPr>
        <w:t xml:space="preserve">2008 – 2014 </w:t>
      </w:r>
      <w:r w:rsidRPr="00F71E9C">
        <w:rPr>
          <w:rFonts w:asciiTheme="minorHAnsi" w:hAnsiTheme="minorHAnsi" w:cstheme="minorHAnsi"/>
          <w:color w:val="000000"/>
          <w:sz w:val="22"/>
          <w:szCs w:val="22"/>
        </w:rPr>
        <w:t xml:space="preserve">(see </w:t>
      </w:r>
      <w:r w:rsidRPr="00F71E9C">
        <w:rPr>
          <w:rFonts w:asciiTheme="minorHAnsi" w:hAnsiTheme="minorHAnsi" w:cstheme="minorHAnsi"/>
          <w:color w:val="000000"/>
          <w:sz w:val="22"/>
          <w:szCs w:val="22"/>
        </w:rPr>
        <w:fldChar w:fldCharType="begin"/>
      </w:r>
      <w:r w:rsidRPr="00F71E9C">
        <w:rPr>
          <w:rFonts w:asciiTheme="minorHAnsi" w:hAnsiTheme="minorHAnsi" w:cstheme="minorHAnsi"/>
          <w:color w:val="000000"/>
          <w:sz w:val="22"/>
          <w:szCs w:val="22"/>
        </w:rPr>
        <w:instrText xml:space="preserve"> REF _Ref511136936 \h  \* MERGEFORMAT </w:instrText>
      </w:r>
      <w:r w:rsidRPr="00F71E9C">
        <w:rPr>
          <w:rFonts w:asciiTheme="minorHAnsi" w:hAnsiTheme="minorHAnsi" w:cstheme="minorHAnsi"/>
          <w:color w:val="000000"/>
          <w:sz w:val="22"/>
          <w:szCs w:val="22"/>
        </w:rPr>
      </w:r>
      <w:r w:rsidRPr="00F71E9C">
        <w:rPr>
          <w:rFonts w:asciiTheme="minorHAnsi" w:hAnsiTheme="minorHAnsi" w:cstheme="minorHAnsi"/>
          <w:color w:val="000000"/>
          <w:sz w:val="22"/>
          <w:szCs w:val="22"/>
        </w:rPr>
        <w:fldChar w:fldCharType="separate"/>
      </w:r>
      <w:r w:rsidR="00406980" w:rsidRPr="00406980">
        <w:rPr>
          <w:rFonts w:asciiTheme="minorHAnsi" w:hAnsiTheme="minorHAnsi" w:cstheme="minorHAnsi"/>
          <w:sz w:val="22"/>
          <w:szCs w:val="22"/>
        </w:rPr>
        <w:t xml:space="preserve">Figure </w:t>
      </w:r>
      <w:r w:rsidR="00406980" w:rsidRPr="00406980">
        <w:rPr>
          <w:rFonts w:asciiTheme="minorHAnsi" w:hAnsiTheme="minorHAnsi" w:cstheme="minorHAnsi"/>
          <w:noProof/>
          <w:sz w:val="22"/>
          <w:szCs w:val="22"/>
        </w:rPr>
        <w:t>1</w:t>
      </w:r>
      <w:r w:rsidRPr="00F71E9C">
        <w:rPr>
          <w:rFonts w:asciiTheme="minorHAnsi" w:hAnsiTheme="minorHAnsi" w:cstheme="minorHAnsi"/>
          <w:color w:val="000000"/>
          <w:sz w:val="22"/>
          <w:szCs w:val="22"/>
        </w:rPr>
        <w:fldChar w:fldCharType="end"/>
      </w:r>
      <w:r w:rsidRPr="00F71E9C">
        <w:rPr>
          <w:rFonts w:asciiTheme="minorHAnsi" w:hAnsiTheme="minorHAnsi" w:cstheme="minorHAnsi"/>
          <w:color w:val="000000"/>
          <w:sz w:val="22"/>
          <w:szCs w:val="22"/>
        </w:rPr>
        <w:t>). However, with the introduction of the Universal Health Care program, the state budget allocations have increased, and the share of health spending in the general government budget has reached 8.8% in 2016</w:t>
      </w:r>
      <w:r>
        <w:rPr>
          <w:rStyle w:val="FootnoteReference"/>
          <w:rFonts w:asciiTheme="minorHAnsi" w:hAnsiTheme="minorHAnsi" w:cstheme="minorHAnsi"/>
          <w:color w:val="000000"/>
          <w:sz w:val="22"/>
          <w:szCs w:val="22"/>
        </w:rPr>
        <w:footnoteReference w:id="3"/>
      </w:r>
      <w:r w:rsidRPr="00F71E9C">
        <w:rPr>
          <w:rFonts w:asciiTheme="minorHAnsi" w:hAnsiTheme="minorHAnsi" w:cstheme="minorHAnsi"/>
          <w:color w:val="000000"/>
          <w:sz w:val="22"/>
          <w:szCs w:val="22"/>
        </w:rPr>
        <w:t xml:space="preserve">. </w:t>
      </w:r>
      <w:r w:rsidR="0008086B">
        <w:rPr>
          <w:rFonts w:asciiTheme="minorHAnsi" w:hAnsiTheme="minorHAnsi" w:cstheme="minorHAnsi"/>
          <w:color w:val="000000"/>
          <w:sz w:val="22"/>
          <w:szCs w:val="22"/>
        </w:rPr>
        <w:t>Nevertheless</w:t>
      </w:r>
      <w:r w:rsidRPr="00F71E9C">
        <w:rPr>
          <w:rFonts w:asciiTheme="minorHAnsi" w:hAnsiTheme="minorHAnsi" w:cstheme="minorHAnsi"/>
          <w:color w:val="000000"/>
          <w:sz w:val="22"/>
          <w:szCs w:val="22"/>
        </w:rPr>
        <w:t>, this indicator can be used to indicate the government commitment to distribute the fair share of the government budget to the health system, which is still relatively low compared with other countries in the European region.</w:t>
      </w:r>
      <w:r w:rsidR="00E10B10">
        <w:rPr>
          <w:rFonts w:asciiTheme="minorHAnsi" w:hAnsiTheme="minorHAnsi" w:cstheme="minorHAnsi"/>
          <w:color w:val="000000"/>
          <w:sz w:val="22"/>
          <w:szCs w:val="22"/>
        </w:rPr>
        <w:t xml:space="preserve"> </w:t>
      </w:r>
      <w:r w:rsidRPr="00F71E9C">
        <w:rPr>
          <w:rFonts w:asciiTheme="minorHAnsi" w:hAnsiTheme="minorHAnsi" w:cstheme="minorHAnsi"/>
          <w:color w:val="000000"/>
          <w:sz w:val="22"/>
          <w:szCs w:val="22"/>
        </w:rPr>
        <w:t xml:space="preserve">The fragile economic situation in the country may limit government's ability to increase further its investments in health, which will be required to meet the increased domestic commitments as the international financing for the health sector of Georgia shrinks. The recently manifested trend in the devaluation of the national currency </w:t>
      </w:r>
      <w:r w:rsidR="00594F6E">
        <w:rPr>
          <w:rFonts w:asciiTheme="minorHAnsi" w:hAnsiTheme="minorHAnsi" w:cstheme="minorHAnsi"/>
          <w:color w:val="000000"/>
          <w:sz w:val="22"/>
          <w:szCs w:val="22"/>
        </w:rPr>
        <w:t xml:space="preserve">and </w:t>
      </w:r>
      <w:r w:rsidR="00594F6E" w:rsidRPr="00F71E9C">
        <w:rPr>
          <w:rFonts w:asciiTheme="minorHAnsi" w:hAnsiTheme="minorHAnsi" w:cstheme="minorHAnsi"/>
          <w:sz w:val="22"/>
          <w:szCs w:val="22"/>
        </w:rPr>
        <w:t>increased external debt (19 billion GeL</w:t>
      </w:r>
      <w:r>
        <w:rPr>
          <w:rStyle w:val="FootnoteReference"/>
          <w:rFonts w:asciiTheme="minorHAnsi" w:hAnsiTheme="minorHAnsi" w:cstheme="minorHAnsi"/>
          <w:sz w:val="22"/>
          <w:szCs w:val="22"/>
        </w:rPr>
        <w:footnoteReference w:id="4"/>
      </w:r>
      <w:r w:rsidR="00594F6E">
        <w:rPr>
          <w:rFonts w:asciiTheme="minorHAnsi" w:hAnsiTheme="minorHAnsi" w:cstheme="minorHAnsi"/>
          <w:sz w:val="22"/>
          <w:szCs w:val="22"/>
        </w:rPr>
        <w:t xml:space="preserve"> as of December 31, 2017)</w:t>
      </w:r>
      <w:r w:rsidR="00594F6E" w:rsidRPr="00F71E9C">
        <w:rPr>
          <w:rFonts w:asciiTheme="minorHAnsi" w:hAnsiTheme="minorHAnsi" w:cstheme="minorHAnsi"/>
          <w:sz w:val="22"/>
          <w:szCs w:val="22"/>
        </w:rPr>
        <w:t xml:space="preserve">  </w:t>
      </w:r>
      <w:r w:rsidRPr="00F71E9C">
        <w:rPr>
          <w:rFonts w:asciiTheme="minorHAnsi" w:hAnsiTheme="minorHAnsi" w:cstheme="minorHAnsi"/>
          <w:color w:val="000000"/>
          <w:sz w:val="22"/>
          <w:szCs w:val="22"/>
        </w:rPr>
        <w:t xml:space="preserve">may also present a further challenge. </w:t>
      </w:r>
    </w:p>
    <w:p w:rsidR="008E26E3" w:rsidRPr="00F71E9C" w:rsidRDefault="008E26E3" w:rsidP="0028414E">
      <w:pPr>
        <w:rPr>
          <w:rFonts w:asciiTheme="minorHAnsi" w:hAnsiTheme="minorHAnsi" w:cstheme="minorHAnsi"/>
          <w:color w:val="000000"/>
          <w:sz w:val="22"/>
          <w:szCs w:val="22"/>
        </w:rPr>
      </w:pPr>
    </w:p>
    <w:p w:rsidR="008E26E3" w:rsidRPr="00F71E9C" w:rsidRDefault="00F83AE0" w:rsidP="0028414E">
      <w:pPr>
        <w:rPr>
          <w:rFonts w:asciiTheme="minorHAnsi" w:hAnsiTheme="minorHAnsi" w:cstheme="minorHAnsi"/>
          <w:bCs/>
          <w:color w:val="000000"/>
          <w:sz w:val="22"/>
          <w:szCs w:val="22"/>
        </w:rPr>
      </w:pPr>
      <w:r w:rsidRPr="00F71E9C">
        <w:rPr>
          <w:rFonts w:asciiTheme="minorHAnsi" w:hAnsiTheme="minorHAnsi" w:cstheme="minorHAnsi"/>
          <w:sz w:val="22"/>
          <w:szCs w:val="22"/>
        </w:rPr>
        <w:t xml:space="preserve">According </w:t>
      </w:r>
      <w:r w:rsidR="004233E6">
        <w:rPr>
          <w:rFonts w:asciiTheme="minorHAnsi" w:hAnsiTheme="minorHAnsi" w:cstheme="minorHAnsi"/>
          <w:sz w:val="22"/>
          <w:szCs w:val="22"/>
        </w:rPr>
        <w:t xml:space="preserve">to </w:t>
      </w:r>
      <w:r w:rsidRPr="00F71E9C">
        <w:rPr>
          <w:rFonts w:asciiTheme="minorHAnsi" w:hAnsiTheme="minorHAnsi" w:cstheme="minorHAnsi"/>
          <w:sz w:val="22"/>
          <w:szCs w:val="22"/>
        </w:rPr>
        <w:t>the Global Fund 2018 eligibility</w:t>
      </w:r>
      <w:r w:rsidR="00CC72F3">
        <w:rPr>
          <w:rFonts w:asciiTheme="minorHAnsi" w:hAnsiTheme="minorHAnsi" w:cstheme="minorHAnsi"/>
          <w:sz w:val="22"/>
          <w:szCs w:val="22"/>
        </w:rPr>
        <w:t xml:space="preserve"> </w:t>
      </w:r>
      <w:r w:rsidR="004233E6">
        <w:rPr>
          <w:rFonts w:asciiTheme="minorHAnsi" w:hAnsiTheme="minorHAnsi" w:cstheme="minorHAnsi"/>
          <w:sz w:val="22"/>
          <w:szCs w:val="22"/>
        </w:rPr>
        <w:t>criteria</w:t>
      </w:r>
      <w:r w:rsidRPr="00F71E9C">
        <w:rPr>
          <w:rFonts w:asciiTheme="minorHAnsi" w:hAnsiTheme="minorHAnsi" w:cstheme="minorHAnsi"/>
          <w:sz w:val="22"/>
          <w:szCs w:val="22"/>
        </w:rPr>
        <w:t>, Georgia is still eligible for funding for the 2020-2022 funding cycle</w:t>
      </w:r>
      <w:r>
        <w:rPr>
          <w:rStyle w:val="FootnoteReference"/>
          <w:rFonts w:asciiTheme="minorHAnsi" w:hAnsiTheme="minorHAnsi" w:cstheme="minorHAnsi"/>
          <w:sz w:val="22"/>
          <w:szCs w:val="22"/>
        </w:rPr>
        <w:footnoteReference w:id="5"/>
      </w:r>
      <w:r w:rsidRPr="00F71E9C">
        <w:rPr>
          <w:rFonts w:asciiTheme="minorHAnsi" w:hAnsiTheme="minorHAnsi" w:cstheme="minorHAnsi"/>
          <w:sz w:val="22"/>
          <w:szCs w:val="22"/>
        </w:rPr>
        <w:t>. Even though, understanding the economic fluctuations and possible challenges with taking over funding from external sources, Georgia was among the first few countries in Eastern European and Central Asia region that has developed Transition and Sustainability Plan in 2016</w:t>
      </w:r>
      <w:r>
        <w:rPr>
          <w:rStyle w:val="FootnoteReference"/>
          <w:rFonts w:asciiTheme="minorHAnsi" w:hAnsiTheme="minorHAnsi" w:cstheme="minorHAnsi"/>
          <w:sz w:val="22"/>
          <w:szCs w:val="22"/>
        </w:rPr>
        <w:footnoteReference w:id="6"/>
      </w:r>
      <w:r w:rsidRPr="00F71E9C">
        <w:rPr>
          <w:rFonts w:asciiTheme="minorHAnsi" w:hAnsiTheme="minorHAnsi" w:cstheme="minorHAnsi"/>
          <w:sz w:val="22"/>
          <w:szCs w:val="22"/>
        </w:rPr>
        <w:t xml:space="preserve">. The plan covers the period of 2017-2021 and aims to ensure the smooth </w:t>
      </w:r>
      <w:r w:rsidRPr="00F71E9C">
        <w:rPr>
          <w:rFonts w:asciiTheme="minorHAnsi" w:hAnsiTheme="minorHAnsi" w:cstheme="minorHAnsi"/>
          <w:bCs/>
          <w:color w:val="000000"/>
          <w:sz w:val="22"/>
          <w:szCs w:val="22"/>
        </w:rPr>
        <w:t>transition from TGF funding towards fully national funding of HIV and TB national response</w:t>
      </w:r>
      <w:r w:rsidR="0051552D">
        <w:rPr>
          <w:rFonts w:asciiTheme="minorHAnsi" w:hAnsiTheme="minorHAnsi" w:cstheme="minorHAnsi"/>
          <w:bCs/>
          <w:color w:val="000000"/>
          <w:sz w:val="22"/>
          <w:szCs w:val="22"/>
        </w:rPr>
        <w:t>s</w:t>
      </w:r>
      <w:r w:rsidRPr="00F71E9C">
        <w:rPr>
          <w:rFonts w:asciiTheme="minorHAnsi" w:hAnsiTheme="minorHAnsi" w:cstheme="minorHAnsi"/>
          <w:bCs/>
          <w:color w:val="000000"/>
          <w:sz w:val="22"/>
          <w:szCs w:val="22"/>
        </w:rPr>
        <w:t xml:space="preserve"> by the Year 2022.  </w:t>
      </w:r>
    </w:p>
    <w:p w:rsidR="008E26E3" w:rsidRPr="00F71E9C" w:rsidRDefault="008E26E3" w:rsidP="0028414E">
      <w:pPr>
        <w:rPr>
          <w:rFonts w:asciiTheme="minorHAnsi" w:hAnsiTheme="minorHAnsi" w:cstheme="minorHAnsi"/>
          <w:bCs/>
          <w:color w:val="000000"/>
          <w:sz w:val="22"/>
          <w:szCs w:val="22"/>
        </w:rPr>
      </w:pPr>
    </w:p>
    <w:p w:rsidR="008E26E3" w:rsidRPr="00F71E9C" w:rsidRDefault="00F83AE0" w:rsidP="0028414E">
      <w:pPr>
        <w:rPr>
          <w:rFonts w:asciiTheme="minorHAnsi" w:hAnsiTheme="minorHAnsi" w:cstheme="minorHAnsi"/>
          <w:i/>
        </w:rPr>
      </w:pPr>
      <w:r w:rsidRPr="00F71E9C">
        <w:rPr>
          <w:rFonts w:asciiTheme="minorHAnsi" w:hAnsiTheme="minorHAnsi" w:cstheme="minorHAnsi"/>
          <w:bCs/>
          <w:color w:val="000000"/>
          <w:sz w:val="22"/>
          <w:szCs w:val="22"/>
        </w:rPr>
        <w:t>The presented document is the fifth National Strategic Plan for HIV/AIDS since the 2003 and beyond analyses of achievement</w:t>
      </w:r>
      <w:r w:rsidR="009E66A4">
        <w:rPr>
          <w:rFonts w:asciiTheme="minorHAnsi" w:hAnsiTheme="minorHAnsi" w:cstheme="minorHAnsi"/>
          <w:bCs/>
          <w:color w:val="000000"/>
          <w:sz w:val="22"/>
          <w:szCs w:val="22"/>
        </w:rPr>
        <w:t>s</w:t>
      </w:r>
      <w:r w:rsidRPr="00F71E9C">
        <w:rPr>
          <w:rFonts w:asciiTheme="minorHAnsi" w:hAnsiTheme="minorHAnsi" w:cstheme="minorHAnsi"/>
          <w:bCs/>
          <w:color w:val="000000"/>
          <w:sz w:val="22"/>
          <w:szCs w:val="22"/>
        </w:rPr>
        <w:t xml:space="preserve"> and challenges of the national response, cover</w:t>
      </w:r>
      <w:r w:rsidR="009E66A4">
        <w:rPr>
          <w:rFonts w:asciiTheme="minorHAnsi" w:hAnsiTheme="minorHAnsi" w:cstheme="minorHAnsi"/>
          <w:bCs/>
          <w:color w:val="000000"/>
          <w:sz w:val="22"/>
          <w:szCs w:val="22"/>
        </w:rPr>
        <w:t xml:space="preserve">s transition activities as well. </w:t>
      </w:r>
      <w:r w:rsidRPr="00F71E9C">
        <w:rPr>
          <w:rFonts w:asciiTheme="minorHAnsi" w:hAnsiTheme="minorHAnsi" w:cstheme="minorHAnsi"/>
          <w:bCs/>
          <w:color w:val="000000"/>
          <w:sz w:val="22"/>
          <w:szCs w:val="22"/>
        </w:rPr>
        <w:t xml:space="preserve"> </w:t>
      </w:r>
    </w:p>
    <w:p w:rsidR="008E26E3" w:rsidRPr="00F43D72" w:rsidRDefault="00F83AE0" w:rsidP="0028414E">
      <w:pPr>
        <w:rPr>
          <w:rFonts w:asciiTheme="minorHAnsi" w:hAnsiTheme="minorHAnsi" w:cstheme="minorHAnsi"/>
          <w:i/>
          <w:color w:val="000000" w:themeColor="text1"/>
        </w:rPr>
      </w:pPr>
      <w:r>
        <w:rPr>
          <w:rFonts w:asciiTheme="minorHAnsi" w:hAnsiTheme="minorHAnsi" w:cstheme="minorHAnsi"/>
          <w:i/>
          <w:color w:val="000000" w:themeColor="text1"/>
        </w:rPr>
        <w:br w:type="page"/>
      </w:r>
    </w:p>
    <w:p w:rsidR="008E26E3" w:rsidRDefault="00F83AE0" w:rsidP="00077DD8">
      <w:pPr>
        <w:pStyle w:val="Heading2"/>
        <w:numPr>
          <w:ilvl w:val="0"/>
          <w:numId w:val="2"/>
        </w:numPr>
      </w:pPr>
      <w:bookmarkStart w:id="2" w:name="_Toc517018606"/>
      <w:r>
        <w:lastRenderedPageBreak/>
        <w:t>Situation Analysis</w:t>
      </w:r>
      <w:bookmarkEnd w:id="2"/>
    </w:p>
    <w:p w:rsidR="008E26E3" w:rsidRDefault="00F83AE0" w:rsidP="00077DD8">
      <w:pPr>
        <w:pStyle w:val="Heading3"/>
      </w:pPr>
      <w:bookmarkStart w:id="3" w:name="_Toc517018607"/>
      <w:r>
        <w:t>1.1 Legal Framework</w:t>
      </w:r>
      <w:bookmarkEnd w:id="3"/>
    </w:p>
    <w:p w:rsidR="008E26E3" w:rsidRPr="001574F7" w:rsidRDefault="008E26E3" w:rsidP="001574F7"/>
    <w:p w:rsidR="008E26E3" w:rsidRPr="00151E3C" w:rsidRDefault="00F83AE0" w:rsidP="00284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Theme="minorHAnsi" w:eastAsia="Sylfaen" w:hAnsiTheme="minorHAnsi" w:cstheme="minorHAnsi"/>
          <w:color w:val="000000"/>
          <w:sz w:val="22"/>
          <w:szCs w:val="22"/>
        </w:rPr>
      </w:pPr>
      <w:r w:rsidRPr="00151E3C">
        <w:rPr>
          <w:rFonts w:asciiTheme="minorHAnsi" w:eastAsia="Sylfaen" w:hAnsiTheme="minorHAnsi" w:cstheme="minorHAnsi"/>
          <w:color w:val="000000"/>
          <w:sz w:val="22"/>
          <w:szCs w:val="22"/>
        </w:rPr>
        <w:t>Georgian citizens are entitled to equal and unlimited access to quality HIV preventive and treatment services. The following legal acts pursue the right to access the adequate health services with full respect for human rights and patient dignity:</w:t>
      </w:r>
    </w:p>
    <w:p w:rsidR="008E26E3" w:rsidRPr="009E66A4" w:rsidRDefault="00F83AE0"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t>Constitution of Georgia;</w:t>
      </w:r>
    </w:p>
    <w:p w:rsidR="008E26E3" w:rsidRPr="009E66A4" w:rsidRDefault="00F83AE0"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t xml:space="preserve">Georgia Law on Health Care; </w:t>
      </w:r>
    </w:p>
    <w:p w:rsidR="008E26E3" w:rsidRPr="009E66A4" w:rsidRDefault="00F83AE0"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t>Georgia Law on Medical Activities;</w:t>
      </w:r>
    </w:p>
    <w:p w:rsidR="00FF0EAD" w:rsidRPr="00FF0EAD" w:rsidRDefault="00F83AE0" w:rsidP="00A3152C">
      <w:pPr>
        <w:pStyle w:val="ListParagraph"/>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line="20" w:lineRule="atLeast"/>
        <w:contextualSpacing w:val="0"/>
        <w:jc w:val="both"/>
        <w:rPr>
          <w:rFonts w:asciiTheme="minorHAnsi" w:eastAsia="Sylfaen" w:hAnsiTheme="minorHAnsi" w:cstheme="minorHAnsi"/>
          <w:color w:val="000000"/>
          <w:sz w:val="22"/>
          <w:szCs w:val="22"/>
        </w:rPr>
      </w:pPr>
      <w:r w:rsidRPr="009E66A4">
        <w:rPr>
          <w:rFonts w:asciiTheme="minorHAnsi" w:eastAsia="Sylfaen" w:hAnsiTheme="minorHAnsi" w:cstheme="minorHAnsi"/>
          <w:color w:val="000000"/>
          <w:sz w:val="22"/>
          <w:szCs w:val="22"/>
        </w:rPr>
        <w:t>Georgia Law on Patients’ Rights</w:t>
      </w:r>
      <w:r w:rsidR="00F43D72">
        <w:rPr>
          <w:rFonts w:asciiTheme="minorHAnsi" w:eastAsia="Sylfaen" w:hAnsiTheme="minorHAnsi" w:cstheme="minorHAnsi"/>
          <w:color w:val="000000"/>
          <w:sz w:val="22"/>
          <w:szCs w:val="22"/>
        </w:rPr>
        <w:t>.</w:t>
      </w:r>
    </w:p>
    <w:p w:rsidR="00F43D72" w:rsidRDefault="00F43D72" w:rsidP="00817685">
      <w:pPr>
        <w:rPr>
          <w:rFonts w:asciiTheme="minorHAnsi" w:eastAsia="Sylfaen" w:hAnsiTheme="minorHAnsi" w:cstheme="minorHAnsi"/>
          <w:color w:val="000000"/>
          <w:sz w:val="22"/>
          <w:szCs w:val="22"/>
        </w:rPr>
      </w:pPr>
    </w:p>
    <w:p w:rsidR="002536C2" w:rsidRPr="002536C2" w:rsidRDefault="00F83AE0" w:rsidP="002536C2">
      <w:pPr>
        <w:pStyle w:val="CommentText"/>
        <w:rPr>
          <w:rFonts w:asciiTheme="minorHAnsi" w:hAnsiTheme="minorHAnsi" w:cstheme="minorHAnsi"/>
          <w:sz w:val="22"/>
          <w:szCs w:val="22"/>
        </w:rPr>
      </w:pPr>
      <w:r w:rsidRPr="00151E3C">
        <w:rPr>
          <w:rFonts w:asciiTheme="minorHAnsi" w:eastAsia="Sylfaen" w:hAnsiTheme="minorHAnsi" w:cstheme="minorHAnsi"/>
          <w:color w:val="000000"/>
          <w:sz w:val="22"/>
          <w:szCs w:val="22"/>
        </w:rPr>
        <w:t xml:space="preserve">The Georgia Law on HIV defines the responsibility of the GoG to ensure the implementation of effective interventions for HIV prevention and treatment. </w:t>
      </w:r>
      <w:r w:rsidRPr="00151E3C">
        <w:rPr>
          <w:rFonts w:asciiTheme="minorHAnsi" w:hAnsiTheme="minorHAnsi" w:cstheme="minorHAnsi"/>
          <w:sz w:val="22"/>
          <w:szCs w:val="22"/>
        </w:rPr>
        <w:t>The Law determines the basic principles of HIV/AIDS response in Georgia, the rights and responsibilities of HIV/AIDS patients and health workers</w:t>
      </w:r>
      <w:r w:rsidR="00D24560">
        <w:rPr>
          <w:rFonts w:asciiTheme="minorHAnsi" w:hAnsiTheme="minorHAnsi" w:cstheme="minorHAnsi"/>
          <w:sz w:val="22"/>
          <w:szCs w:val="22"/>
        </w:rPr>
        <w:t xml:space="preserve">, </w:t>
      </w:r>
      <w:r>
        <w:rPr>
          <w:rFonts w:asciiTheme="minorHAnsi" w:hAnsiTheme="minorHAnsi" w:cstheme="minorHAnsi"/>
          <w:sz w:val="22"/>
          <w:szCs w:val="22"/>
        </w:rPr>
        <w:t xml:space="preserve">defines </w:t>
      </w:r>
      <w:r w:rsidRPr="002536C2">
        <w:rPr>
          <w:rFonts w:asciiTheme="minorHAnsi" w:hAnsiTheme="minorHAnsi" w:cstheme="minorHAnsi"/>
          <w:sz w:val="22"/>
          <w:szCs w:val="22"/>
        </w:rPr>
        <w:t xml:space="preserve">the State’s responsibility to ensure unrestricted equal access to quality HIV services for all citizens of Georgia. </w:t>
      </w:r>
    </w:p>
    <w:p w:rsidR="00F43D72" w:rsidRPr="00A74B2D" w:rsidRDefault="00F43D72" w:rsidP="00817685">
      <w:pPr>
        <w:rPr>
          <w:rFonts w:asciiTheme="minorHAnsi" w:hAnsiTheme="minorHAnsi" w:cstheme="minorHAnsi"/>
          <w:sz w:val="22"/>
          <w:szCs w:val="22"/>
          <w:lang w:val="ka-GE"/>
        </w:rPr>
      </w:pPr>
    </w:p>
    <w:p w:rsidR="008E26E3" w:rsidRPr="00151E3C" w:rsidRDefault="00F83AE0" w:rsidP="00817685">
      <w:pPr>
        <w:rPr>
          <w:rFonts w:asciiTheme="minorHAnsi" w:hAnsiTheme="minorHAnsi" w:cstheme="minorHAnsi"/>
          <w:sz w:val="22"/>
          <w:szCs w:val="22"/>
        </w:rPr>
      </w:pPr>
      <w:r w:rsidRPr="00151E3C">
        <w:rPr>
          <w:rFonts w:asciiTheme="minorHAnsi" w:hAnsiTheme="minorHAnsi" w:cstheme="minorHAnsi"/>
          <w:sz w:val="22"/>
          <w:szCs w:val="22"/>
        </w:rPr>
        <w:t>The existing legislative framework provides protection of health, as well as state and public safety and the fulfillment of the requirements of the international treaties and agreements of Georgia in controlling the infectious diseases.</w:t>
      </w:r>
    </w:p>
    <w:p w:rsidR="008E26E3" w:rsidRPr="00151E3C" w:rsidRDefault="008E26E3" w:rsidP="00592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p>
    <w:p w:rsidR="008E26E3" w:rsidRPr="00151E3C" w:rsidRDefault="00F83AE0" w:rsidP="00817685">
      <w:pPr>
        <w:rPr>
          <w:rFonts w:asciiTheme="minorHAnsi" w:hAnsiTheme="minorHAnsi" w:cstheme="minorHAnsi"/>
          <w:sz w:val="22"/>
          <w:szCs w:val="22"/>
        </w:rPr>
      </w:pPr>
      <w:r w:rsidRPr="00151E3C">
        <w:rPr>
          <w:rFonts w:asciiTheme="minorHAnsi" w:eastAsia="Sylfaen" w:hAnsiTheme="minorHAnsi" w:cstheme="minorHAnsi"/>
          <w:color w:val="000000"/>
          <w:sz w:val="22"/>
          <w:szCs w:val="22"/>
        </w:rPr>
        <w:t>The Georgia Law on Public Health</w:t>
      </w:r>
      <w:r>
        <w:rPr>
          <w:rStyle w:val="FootnoteReference"/>
          <w:rFonts w:asciiTheme="minorHAnsi" w:eastAsia="Sylfaen" w:hAnsiTheme="minorHAnsi" w:cstheme="minorHAnsi"/>
          <w:color w:val="000000"/>
          <w:sz w:val="22"/>
          <w:szCs w:val="22"/>
        </w:rPr>
        <w:footnoteReference w:id="7"/>
      </w:r>
      <w:r w:rsidRPr="00151E3C">
        <w:rPr>
          <w:rFonts w:asciiTheme="minorHAnsi" w:eastAsia="Sylfaen" w:hAnsiTheme="minorHAnsi" w:cstheme="minorHAnsi"/>
          <w:color w:val="000000"/>
          <w:sz w:val="22"/>
          <w:szCs w:val="22"/>
        </w:rPr>
        <w:t xml:space="preserve"> further emphasizes the role that GoG should play in creating a robust strategic framework for HIV national response and supporting its implementation</w:t>
      </w:r>
      <w:r w:rsidRPr="00151E3C">
        <w:rPr>
          <w:rFonts w:asciiTheme="minorHAnsi" w:hAnsiTheme="minorHAnsi" w:cstheme="minorHAnsi"/>
          <w:sz w:val="22"/>
          <w:szCs w:val="22"/>
        </w:rPr>
        <w:t>.</w:t>
      </w:r>
    </w:p>
    <w:p w:rsidR="008E26E3" w:rsidRPr="00151E3C" w:rsidRDefault="008E26E3" w:rsidP="00592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p>
    <w:p w:rsidR="008E26E3" w:rsidRPr="00151E3C" w:rsidRDefault="00F83AE0" w:rsidP="00592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heme="minorHAnsi" w:eastAsia="Sylfaen" w:hAnsiTheme="minorHAnsi" w:cstheme="minorHAnsi"/>
          <w:color w:val="000000"/>
          <w:sz w:val="22"/>
          <w:szCs w:val="22"/>
        </w:rPr>
      </w:pPr>
      <w:r w:rsidRPr="00151E3C">
        <w:rPr>
          <w:rFonts w:asciiTheme="minorHAnsi" w:eastAsia="Sylfaen" w:hAnsiTheme="minorHAnsi" w:cstheme="minorHAnsi"/>
          <w:color w:val="000000"/>
          <w:sz w:val="22"/>
          <w:szCs w:val="22"/>
        </w:rPr>
        <w:t>The Georgia Law on State Budget</w:t>
      </w:r>
      <w:r>
        <w:rPr>
          <w:rStyle w:val="FootnoteReference"/>
          <w:rFonts w:asciiTheme="minorHAnsi" w:eastAsia="Sylfaen" w:hAnsiTheme="minorHAnsi" w:cstheme="minorHAnsi"/>
          <w:color w:val="000000"/>
          <w:sz w:val="22"/>
          <w:szCs w:val="22"/>
        </w:rPr>
        <w:footnoteReference w:id="8"/>
      </w:r>
      <w:r w:rsidRPr="00151E3C">
        <w:rPr>
          <w:rFonts w:asciiTheme="minorHAnsi" w:eastAsia="Sylfaen" w:hAnsiTheme="minorHAnsi" w:cstheme="minorHAnsi"/>
          <w:color w:val="000000"/>
          <w:sz w:val="22"/>
          <w:szCs w:val="22"/>
        </w:rPr>
        <w:t xml:space="preserve"> defines annual allocative amount for HIV programs. These allocations cover HIV service delivery costs as well as some preventive activities. </w:t>
      </w:r>
    </w:p>
    <w:p w:rsidR="008E26E3" w:rsidRPr="00151E3C" w:rsidRDefault="008E26E3" w:rsidP="005921DB">
      <w:pPr>
        <w:autoSpaceDE w:val="0"/>
        <w:autoSpaceDN w:val="0"/>
        <w:adjustRightInd w:val="0"/>
        <w:jc w:val="both"/>
        <w:rPr>
          <w:rFonts w:asciiTheme="minorHAnsi" w:eastAsia="Sylfaen" w:hAnsiTheme="minorHAnsi" w:cstheme="minorHAnsi"/>
          <w:color w:val="000000"/>
          <w:sz w:val="22"/>
          <w:szCs w:val="22"/>
        </w:rPr>
      </w:pPr>
    </w:p>
    <w:p w:rsidR="008E26E3" w:rsidRPr="00151E3C" w:rsidRDefault="00F83AE0" w:rsidP="0028414E">
      <w:pPr>
        <w:autoSpaceDE w:val="0"/>
        <w:autoSpaceDN w:val="0"/>
        <w:adjustRightInd w:val="0"/>
        <w:rPr>
          <w:rFonts w:asciiTheme="minorHAnsi" w:eastAsia="Sylfaen" w:hAnsiTheme="minorHAnsi" w:cstheme="minorHAnsi"/>
          <w:color w:val="000000"/>
          <w:sz w:val="22"/>
          <w:szCs w:val="22"/>
        </w:rPr>
      </w:pPr>
      <w:r w:rsidRPr="00151E3C">
        <w:rPr>
          <w:rFonts w:asciiTheme="minorHAnsi" w:eastAsia="Sylfaen" w:hAnsiTheme="minorHAnsi" w:cstheme="minorHAnsi"/>
          <w:color w:val="000000"/>
          <w:sz w:val="22"/>
          <w:szCs w:val="22"/>
        </w:rPr>
        <w:t>Article 356 of the EU Georgia Association Agreement</w:t>
      </w:r>
      <w:r>
        <w:rPr>
          <w:rStyle w:val="FootnoteReference"/>
          <w:rFonts w:asciiTheme="minorHAnsi" w:eastAsia="Sylfaen" w:hAnsiTheme="minorHAnsi" w:cstheme="minorHAnsi"/>
          <w:color w:val="000000"/>
          <w:sz w:val="22"/>
          <w:szCs w:val="22"/>
        </w:rPr>
        <w:footnoteReference w:id="9"/>
      </w:r>
      <w:r w:rsidRPr="00151E3C">
        <w:rPr>
          <w:rFonts w:asciiTheme="minorHAnsi" w:eastAsia="Sylfaen" w:hAnsiTheme="minorHAnsi" w:cstheme="minorHAnsi"/>
          <w:color w:val="000000"/>
          <w:sz w:val="22"/>
          <w:szCs w:val="22"/>
        </w:rPr>
        <w:t xml:space="preserve"> issued in June 2014 stipulates the commitment of Georgia to strengthen "epidemiological surveillance and control of communicable diseases, such for example HIV/AIDS, viral hepatitis, tuberculosis as well as antimicrobial resistance, as well as increased preparedness for public health threats and emergencies." </w:t>
      </w:r>
    </w:p>
    <w:p w:rsidR="008E26E3" w:rsidRDefault="008E26E3" w:rsidP="00512A1C"/>
    <w:p w:rsidR="008E26E3" w:rsidRDefault="00F83AE0" w:rsidP="00077DD8">
      <w:pPr>
        <w:pStyle w:val="Heading3"/>
      </w:pPr>
      <w:bookmarkStart w:id="4" w:name="_Toc517018608"/>
      <w:r>
        <w:t>1.2 Global Strategies</w:t>
      </w:r>
      <w:bookmarkEnd w:id="4"/>
    </w:p>
    <w:p w:rsidR="008E26E3" w:rsidRPr="00183A3D" w:rsidRDefault="008E26E3" w:rsidP="00891C15">
      <w:pPr>
        <w:rPr>
          <w:rFonts w:asciiTheme="minorHAnsi" w:hAnsiTheme="minorHAnsi" w:cstheme="minorHAnsi"/>
        </w:rPr>
      </w:pPr>
    </w:p>
    <w:p w:rsidR="008E26E3" w:rsidRPr="00183A3D" w:rsidRDefault="00F83AE0" w:rsidP="00891C15">
      <w:pPr>
        <w:rPr>
          <w:rFonts w:asciiTheme="minorHAnsi" w:hAnsiTheme="minorHAnsi" w:cstheme="minorHAnsi"/>
          <w:sz w:val="22"/>
          <w:szCs w:val="22"/>
        </w:rPr>
      </w:pPr>
      <w:r w:rsidRPr="00183A3D">
        <w:rPr>
          <w:rFonts w:asciiTheme="minorHAnsi" w:hAnsiTheme="minorHAnsi" w:cstheme="minorHAnsi"/>
          <w:sz w:val="22"/>
          <w:szCs w:val="22"/>
        </w:rPr>
        <w:t>Main directions and activities proposed in new strategy are fully align</w:t>
      </w:r>
      <w:r w:rsidR="00470875">
        <w:rPr>
          <w:rFonts w:asciiTheme="minorHAnsi" w:hAnsiTheme="minorHAnsi" w:cstheme="minorHAnsi"/>
          <w:sz w:val="22"/>
          <w:szCs w:val="22"/>
        </w:rPr>
        <w:t>ed</w:t>
      </w:r>
      <w:r w:rsidRPr="00183A3D">
        <w:rPr>
          <w:rFonts w:asciiTheme="minorHAnsi" w:hAnsiTheme="minorHAnsi" w:cstheme="minorHAnsi"/>
          <w:sz w:val="22"/>
          <w:szCs w:val="22"/>
        </w:rPr>
        <w:t xml:space="preserve"> with UN Sustainable Development Goal 3</w:t>
      </w:r>
      <w:r>
        <w:rPr>
          <w:rStyle w:val="FootnoteReference"/>
          <w:rFonts w:asciiTheme="minorHAnsi" w:hAnsiTheme="minorHAnsi" w:cstheme="minorHAnsi"/>
          <w:sz w:val="22"/>
          <w:szCs w:val="22"/>
        </w:rPr>
        <w:footnoteReference w:id="10"/>
      </w:r>
      <w:r w:rsidRPr="00183A3D">
        <w:rPr>
          <w:rFonts w:asciiTheme="minorHAnsi" w:hAnsiTheme="minorHAnsi" w:cstheme="minorHAnsi"/>
          <w:sz w:val="22"/>
          <w:szCs w:val="22"/>
        </w:rPr>
        <w:t xml:space="preserve"> and UNAIDS 90-90-90 Strategy</w:t>
      </w:r>
      <w:r>
        <w:rPr>
          <w:rStyle w:val="FootnoteReference"/>
          <w:rFonts w:asciiTheme="minorHAnsi" w:hAnsiTheme="minorHAnsi" w:cstheme="minorHAnsi"/>
          <w:sz w:val="22"/>
          <w:szCs w:val="22"/>
        </w:rPr>
        <w:footnoteReference w:id="11"/>
      </w:r>
    </w:p>
    <w:p w:rsidR="008E26E3" w:rsidRDefault="008E26E3" w:rsidP="00891C15">
      <w:pPr>
        <w:rPr>
          <w:sz w:val="22"/>
          <w:szCs w:val="22"/>
        </w:rPr>
      </w:pPr>
    </w:p>
    <w:p w:rsidR="008E26E3" w:rsidRDefault="00F83AE0" w:rsidP="00077DD8">
      <w:pPr>
        <w:pStyle w:val="Heading3"/>
      </w:pPr>
      <w:bookmarkStart w:id="5" w:name="_Toc517018609"/>
      <w:r>
        <w:t>1.3 HIV/AIDS Epidemiological Update</w:t>
      </w:r>
      <w:bookmarkEnd w:id="5"/>
    </w:p>
    <w:p w:rsidR="008E26E3" w:rsidRDefault="008E26E3" w:rsidP="001B4BD4">
      <w:pPr>
        <w:rPr>
          <w:sz w:val="22"/>
          <w:szCs w:val="22"/>
        </w:rPr>
      </w:pPr>
    </w:p>
    <w:p w:rsidR="008E26E3" w:rsidRPr="00183A3D" w:rsidRDefault="00F83AE0" w:rsidP="001B4BD4">
      <w:pPr>
        <w:rPr>
          <w:rFonts w:asciiTheme="minorHAnsi" w:hAnsiTheme="minorHAnsi" w:cstheme="minorHAnsi"/>
          <w:sz w:val="22"/>
          <w:szCs w:val="22"/>
        </w:rPr>
      </w:pPr>
      <w:r w:rsidRPr="00183A3D">
        <w:rPr>
          <w:rFonts w:asciiTheme="minorHAnsi" w:hAnsiTheme="minorHAnsi" w:cstheme="minorHAnsi"/>
          <w:sz w:val="22"/>
          <w:szCs w:val="22"/>
        </w:rPr>
        <w:t xml:space="preserve">Georgia remains to be a low prevalence country with concentrated epidemics </w:t>
      </w:r>
      <w:r w:rsidR="00EF52A3">
        <w:rPr>
          <w:rFonts w:asciiTheme="minorHAnsi" w:hAnsiTheme="minorHAnsi" w:cstheme="minorHAnsi"/>
          <w:sz w:val="22"/>
          <w:szCs w:val="22"/>
        </w:rPr>
        <w:t xml:space="preserve">among MSM. </w:t>
      </w:r>
      <w:r w:rsidRPr="00183A3D">
        <w:rPr>
          <w:rFonts w:asciiTheme="minorHAnsi" w:hAnsiTheme="minorHAnsi" w:cstheme="minorHAnsi"/>
          <w:sz w:val="22"/>
          <w:szCs w:val="22"/>
        </w:rPr>
        <w:t xml:space="preserve">Even </w:t>
      </w:r>
      <w:r w:rsidR="002F032F">
        <w:rPr>
          <w:rFonts w:asciiTheme="minorHAnsi" w:hAnsiTheme="minorHAnsi" w:cstheme="minorHAnsi"/>
          <w:sz w:val="22"/>
          <w:szCs w:val="22"/>
        </w:rPr>
        <w:t xml:space="preserve">though the </w:t>
      </w:r>
      <w:r w:rsidRPr="00183A3D">
        <w:rPr>
          <w:rFonts w:asciiTheme="minorHAnsi" w:hAnsiTheme="minorHAnsi" w:cstheme="minorHAnsi"/>
          <w:sz w:val="22"/>
          <w:szCs w:val="22"/>
        </w:rPr>
        <w:t>prevalence remains low in general population, there is a risk that epidemic could worsen because of growing number of new cases among key populations, especially PWID's and MSM. Female partners of those groups might serve as a bridge to the general population and deserve particular attention as well.</w:t>
      </w:r>
    </w:p>
    <w:p w:rsidR="008E26E3" w:rsidRPr="00183A3D" w:rsidRDefault="008E26E3" w:rsidP="001B4BD4">
      <w:pPr>
        <w:rPr>
          <w:rFonts w:asciiTheme="minorHAnsi" w:hAnsiTheme="minorHAnsi" w:cstheme="minorHAnsi"/>
          <w:sz w:val="22"/>
          <w:szCs w:val="22"/>
        </w:rPr>
      </w:pPr>
    </w:p>
    <w:p w:rsidR="008E26E3" w:rsidRPr="00183A3D" w:rsidRDefault="00F83AE0" w:rsidP="001B4BD4">
      <w:pPr>
        <w:rPr>
          <w:rFonts w:asciiTheme="minorHAnsi" w:hAnsiTheme="minorHAnsi" w:cstheme="minorHAnsi"/>
          <w:sz w:val="22"/>
          <w:szCs w:val="22"/>
        </w:rPr>
      </w:pPr>
      <w:r w:rsidRPr="00183A3D">
        <w:rPr>
          <w:rFonts w:asciiTheme="minorHAnsi" w:hAnsiTheme="minorHAnsi" w:cstheme="minorHAnsi"/>
          <w:sz w:val="22"/>
          <w:szCs w:val="22"/>
        </w:rPr>
        <w:lastRenderedPageBreak/>
        <w:t>The first case</w:t>
      </w:r>
      <w:r w:rsidR="002F032F">
        <w:rPr>
          <w:rFonts w:asciiTheme="minorHAnsi" w:hAnsiTheme="minorHAnsi" w:cstheme="minorHAnsi"/>
          <w:sz w:val="22"/>
          <w:szCs w:val="22"/>
        </w:rPr>
        <w:t xml:space="preserve"> of HIV</w:t>
      </w:r>
      <w:r w:rsidRPr="00183A3D">
        <w:rPr>
          <w:rFonts w:asciiTheme="minorHAnsi" w:hAnsiTheme="minorHAnsi" w:cstheme="minorHAnsi"/>
          <w:sz w:val="22"/>
          <w:szCs w:val="22"/>
        </w:rPr>
        <w:t xml:space="preserve"> was detected in Georgia in 1989. Since then the country has been actively monitoring the epidemic and has reached significa</w:t>
      </w:r>
      <w:r w:rsidR="00470875">
        <w:rPr>
          <w:rFonts w:asciiTheme="minorHAnsi" w:hAnsiTheme="minorHAnsi" w:cstheme="minorHAnsi"/>
          <w:sz w:val="22"/>
          <w:szCs w:val="22"/>
        </w:rPr>
        <w:t>n</w:t>
      </w:r>
      <w:r w:rsidRPr="00183A3D">
        <w:rPr>
          <w:rFonts w:asciiTheme="minorHAnsi" w:hAnsiTheme="minorHAnsi" w:cstheme="minorHAnsi"/>
          <w:sz w:val="22"/>
          <w:szCs w:val="22"/>
        </w:rPr>
        <w:t>t achievements, but HIV/AIDS remains a significant public health issue.</w:t>
      </w:r>
      <w:r>
        <w:rPr>
          <w:rFonts w:asciiTheme="minorHAnsi" w:hAnsiTheme="minorHAnsi" w:cstheme="minorHAnsi"/>
          <w:sz w:val="22"/>
          <w:szCs w:val="22"/>
        </w:rPr>
        <w:t xml:space="preserve"> </w:t>
      </w:r>
      <w:r w:rsidRPr="00183A3D">
        <w:rPr>
          <w:rFonts w:asciiTheme="minorHAnsi" w:hAnsiTheme="minorHAnsi" w:cstheme="minorHAnsi"/>
          <w:sz w:val="22"/>
          <w:szCs w:val="22"/>
        </w:rPr>
        <w:t xml:space="preserve">According </w:t>
      </w:r>
      <w:r w:rsidR="00470875">
        <w:rPr>
          <w:rFonts w:asciiTheme="minorHAnsi" w:hAnsiTheme="minorHAnsi" w:cstheme="minorHAnsi"/>
          <w:sz w:val="22"/>
          <w:szCs w:val="22"/>
        </w:rPr>
        <w:t xml:space="preserve">to </w:t>
      </w:r>
      <w:r w:rsidRPr="00183A3D">
        <w:rPr>
          <w:rFonts w:asciiTheme="minorHAnsi" w:hAnsiTheme="minorHAnsi" w:cstheme="minorHAnsi"/>
          <w:sz w:val="22"/>
          <w:szCs w:val="22"/>
        </w:rPr>
        <w:t xml:space="preserve">the National AIDS center, </w:t>
      </w:r>
      <w:r w:rsidR="000E703D">
        <w:rPr>
          <w:rFonts w:asciiTheme="minorHAnsi" w:hAnsiTheme="minorHAnsi" w:cstheme="minorHAnsi"/>
          <w:sz w:val="22"/>
          <w:szCs w:val="22"/>
        </w:rPr>
        <w:t xml:space="preserve">as of </w:t>
      </w:r>
      <w:r w:rsidRPr="00183A3D">
        <w:rPr>
          <w:rFonts w:asciiTheme="minorHAnsi" w:hAnsiTheme="minorHAnsi" w:cstheme="minorHAnsi"/>
          <w:sz w:val="22"/>
          <w:szCs w:val="22"/>
        </w:rPr>
        <w:t xml:space="preserve"> 14 May 2018 is 7012</w:t>
      </w:r>
      <w:r>
        <w:rPr>
          <w:rStyle w:val="FootnoteReference"/>
          <w:rFonts w:asciiTheme="minorHAnsi" w:hAnsiTheme="minorHAnsi" w:cstheme="minorHAnsi"/>
          <w:sz w:val="22"/>
          <w:szCs w:val="22"/>
        </w:rPr>
        <w:footnoteReference w:id="12"/>
      </w:r>
      <w:r w:rsidRPr="00183A3D">
        <w:rPr>
          <w:rFonts w:asciiTheme="minorHAnsi" w:hAnsiTheme="minorHAnsi" w:cstheme="minorHAnsi"/>
          <w:sz w:val="22"/>
          <w:szCs w:val="22"/>
        </w:rPr>
        <w:t xml:space="preserve"> </w:t>
      </w:r>
      <w:r w:rsidR="000E703D">
        <w:rPr>
          <w:rFonts w:asciiTheme="minorHAnsi" w:hAnsiTheme="minorHAnsi" w:cstheme="minorHAnsi"/>
          <w:sz w:val="22"/>
          <w:szCs w:val="22"/>
        </w:rPr>
        <w:t xml:space="preserve">HIV/AIDS cases are registered </w:t>
      </w:r>
      <w:r w:rsidRPr="00183A3D">
        <w:rPr>
          <w:rFonts w:asciiTheme="minorHAnsi" w:hAnsiTheme="minorHAnsi" w:cstheme="minorHAnsi"/>
          <w:sz w:val="22"/>
          <w:szCs w:val="22"/>
        </w:rPr>
        <w:t xml:space="preserve">and the number of new cases registered for the same period is 250, in total in 2017 there were 631 new cases registered. Majority of infected </w:t>
      </w:r>
      <w:r w:rsidR="00FE583F">
        <w:rPr>
          <w:rFonts w:asciiTheme="minorHAnsi" w:hAnsiTheme="minorHAnsi" w:cstheme="minorHAnsi"/>
          <w:sz w:val="22"/>
          <w:szCs w:val="22"/>
        </w:rPr>
        <w:t xml:space="preserve">persons </w:t>
      </w:r>
      <w:r w:rsidRPr="00183A3D">
        <w:rPr>
          <w:rFonts w:asciiTheme="minorHAnsi" w:hAnsiTheme="minorHAnsi" w:cstheme="minorHAnsi"/>
          <w:sz w:val="22"/>
          <w:szCs w:val="22"/>
        </w:rPr>
        <w:t xml:space="preserve">are males (5248), within the age group of 29 - 40.  </w:t>
      </w:r>
      <w:r w:rsidR="0002615E">
        <w:rPr>
          <w:rFonts w:asciiTheme="minorHAnsi" w:hAnsiTheme="minorHAnsi" w:cstheme="minorHAnsi"/>
          <w:sz w:val="22"/>
          <w:szCs w:val="22"/>
        </w:rPr>
        <w:t xml:space="preserve">As of May 14, 2018, </w:t>
      </w:r>
      <w:r w:rsidRPr="00183A3D">
        <w:rPr>
          <w:rFonts w:asciiTheme="minorHAnsi" w:hAnsiTheme="minorHAnsi" w:cstheme="minorHAnsi"/>
          <w:sz w:val="22"/>
          <w:szCs w:val="22"/>
        </w:rPr>
        <w:t xml:space="preserve"> 3772 patients has developed AIDS, 1440 have died. The highest number of new cases, so far, </w:t>
      </w:r>
      <w:r w:rsidR="00FE583F">
        <w:rPr>
          <w:rFonts w:asciiTheme="minorHAnsi" w:hAnsiTheme="minorHAnsi" w:cstheme="minorHAnsi"/>
          <w:sz w:val="22"/>
          <w:szCs w:val="22"/>
        </w:rPr>
        <w:t xml:space="preserve">was </w:t>
      </w:r>
      <w:r w:rsidRPr="00183A3D">
        <w:rPr>
          <w:rFonts w:asciiTheme="minorHAnsi" w:hAnsiTheme="minorHAnsi" w:cstheme="minorHAnsi"/>
          <w:sz w:val="22"/>
          <w:szCs w:val="22"/>
        </w:rPr>
        <w:t>registered in 2016 – 719.</w:t>
      </w:r>
    </w:p>
    <w:p w:rsidR="008E26E3" w:rsidRPr="00183A3D" w:rsidRDefault="008E26E3" w:rsidP="001B4BD4">
      <w:pPr>
        <w:rPr>
          <w:rFonts w:asciiTheme="minorHAnsi" w:hAnsiTheme="minorHAnsi" w:cstheme="minorHAnsi"/>
          <w:sz w:val="22"/>
          <w:szCs w:val="22"/>
        </w:rPr>
      </w:pPr>
    </w:p>
    <w:p w:rsidR="008E26E3" w:rsidRPr="00183A3D" w:rsidRDefault="00F83AE0" w:rsidP="001B4BD4">
      <w:pPr>
        <w:rPr>
          <w:rFonts w:asciiTheme="minorHAnsi" w:hAnsiTheme="minorHAnsi" w:cstheme="minorHAnsi"/>
          <w:sz w:val="22"/>
          <w:szCs w:val="22"/>
        </w:rPr>
      </w:pPr>
      <w:r>
        <w:rPr>
          <w:rFonts w:asciiTheme="minorHAnsi" w:hAnsiTheme="minorHAnsi" w:cstheme="minorHAnsi"/>
          <w:sz w:val="22"/>
          <w:szCs w:val="22"/>
        </w:rPr>
        <w:t xml:space="preserve">During the recent communications with UNAIDS, in the process of updating the SPECTRUM, it was agreed that estimated number of PLHIV is 10 500 and this is the number that was used in the process of Strategy development. </w:t>
      </w:r>
    </w:p>
    <w:p w:rsidR="008E26E3" w:rsidRPr="00183A3D" w:rsidRDefault="008E26E3" w:rsidP="001B4BD4">
      <w:pPr>
        <w:rPr>
          <w:rFonts w:asciiTheme="minorHAnsi" w:hAnsiTheme="minorHAnsi" w:cstheme="minorHAnsi"/>
          <w:sz w:val="22"/>
          <w:szCs w:val="22"/>
        </w:rPr>
      </w:pPr>
    </w:p>
    <w:p w:rsidR="008E26E3" w:rsidRDefault="00F83AE0" w:rsidP="001B4BD4">
      <w:pPr>
        <w:rPr>
          <w:rFonts w:asciiTheme="minorHAnsi" w:hAnsiTheme="minorHAnsi" w:cstheme="minorHAnsi"/>
          <w:sz w:val="22"/>
          <w:szCs w:val="22"/>
        </w:rPr>
      </w:pPr>
      <w:r w:rsidRPr="00183A3D">
        <w:rPr>
          <w:rFonts w:asciiTheme="minorHAnsi" w:hAnsiTheme="minorHAnsi" w:cstheme="minorHAnsi"/>
          <w:sz w:val="22"/>
          <w:szCs w:val="22"/>
        </w:rPr>
        <w:t xml:space="preserve">The main route of transmission is sexual </w:t>
      </w:r>
      <w:r w:rsidR="00470875">
        <w:rPr>
          <w:rFonts w:asciiTheme="minorHAnsi" w:hAnsiTheme="minorHAnsi" w:cstheme="minorHAnsi"/>
          <w:sz w:val="22"/>
          <w:szCs w:val="22"/>
        </w:rPr>
        <w:t>contacts</w:t>
      </w:r>
      <w:r w:rsidRPr="00183A3D">
        <w:rPr>
          <w:rFonts w:asciiTheme="minorHAnsi" w:hAnsiTheme="minorHAnsi" w:cstheme="minorHAnsi"/>
          <w:sz w:val="22"/>
          <w:szCs w:val="22"/>
        </w:rPr>
        <w:t>, followed by injecting drug use (</w:t>
      </w:r>
      <w:r w:rsidR="00406980" w:rsidRPr="00406980">
        <w:rPr>
          <w:rFonts w:asciiTheme="minorHAnsi" w:hAnsiTheme="minorHAnsi" w:cstheme="minorHAnsi"/>
          <w:sz w:val="22"/>
          <w:szCs w:val="22"/>
        </w:rPr>
        <w:fldChar w:fldCharType="begin"/>
      </w:r>
      <w:r w:rsidR="00406980" w:rsidRPr="00406980">
        <w:rPr>
          <w:rFonts w:asciiTheme="minorHAnsi" w:hAnsiTheme="minorHAnsi" w:cstheme="minorHAnsi"/>
          <w:sz w:val="22"/>
          <w:szCs w:val="22"/>
        </w:rPr>
        <w:instrText xml:space="preserve"> REF _Ref516857695 \h  \* MERGEFORMAT </w:instrText>
      </w:r>
      <w:r w:rsidR="00406980" w:rsidRPr="00406980">
        <w:rPr>
          <w:rFonts w:asciiTheme="minorHAnsi" w:hAnsiTheme="minorHAnsi" w:cstheme="minorHAnsi"/>
          <w:sz w:val="22"/>
          <w:szCs w:val="22"/>
        </w:rPr>
      </w:r>
      <w:r w:rsidR="00406980" w:rsidRPr="00406980">
        <w:rPr>
          <w:rFonts w:asciiTheme="minorHAnsi" w:hAnsiTheme="minorHAnsi" w:cstheme="minorHAnsi"/>
          <w:sz w:val="22"/>
          <w:szCs w:val="22"/>
        </w:rPr>
        <w:fldChar w:fldCharType="separate"/>
      </w:r>
      <w:r w:rsidR="00406980" w:rsidRPr="00406980">
        <w:rPr>
          <w:rFonts w:asciiTheme="minorHAnsi" w:hAnsiTheme="minorHAnsi"/>
          <w:sz w:val="22"/>
          <w:szCs w:val="22"/>
        </w:rPr>
        <w:t xml:space="preserve">Figure </w:t>
      </w:r>
      <w:r w:rsidR="00406980" w:rsidRPr="00406980">
        <w:rPr>
          <w:rFonts w:asciiTheme="minorHAnsi" w:hAnsiTheme="minorHAnsi"/>
          <w:noProof/>
          <w:sz w:val="22"/>
          <w:szCs w:val="22"/>
        </w:rPr>
        <w:t>3</w:t>
      </w:r>
      <w:r w:rsidR="00406980" w:rsidRPr="00406980">
        <w:rPr>
          <w:rFonts w:asciiTheme="minorHAnsi" w:hAnsiTheme="minorHAnsi" w:cstheme="minorHAnsi"/>
          <w:sz w:val="22"/>
          <w:szCs w:val="22"/>
        </w:rPr>
        <w:fldChar w:fldCharType="end"/>
      </w:r>
      <w:r w:rsidRPr="00406980">
        <w:rPr>
          <w:rFonts w:asciiTheme="minorHAnsi" w:hAnsiTheme="minorHAnsi" w:cstheme="minorHAnsi"/>
          <w:sz w:val="22"/>
          <w:szCs w:val="22"/>
        </w:rPr>
        <w:t>).</w:t>
      </w:r>
      <w:r w:rsidRPr="00183A3D">
        <w:rPr>
          <w:rFonts w:asciiTheme="minorHAnsi" w:hAnsiTheme="minorHAnsi" w:cstheme="minorHAnsi"/>
          <w:sz w:val="22"/>
          <w:szCs w:val="22"/>
        </w:rPr>
        <w:t xml:space="preserve"> Heterosexual and homo/bisexual contacts together are responsible for almost 56% of cases. Which is </w:t>
      </w:r>
      <w:r w:rsidR="00F67DEF">
        <w:rPr>
          <w:rFonts w:asciiTheme="minorHAnsi" w:hAnsiTheme="minorHAnsi" w:cstheme="minorHAnsi"/>
          <w:sz w:val="22"/>
          <w:szCs w:val="22"/>
        </w:rPr>
        <w:t xml:space="preserve">somewhat </w:t>
      </w:r>
      <w:r w:rsidRPr="00183A3D">
        <w:rPr>
          <w:rFonts w:asciiTheme="minorHAnsi" w:hAnsiTheme="minorHAnsi" w:cstheme="minorHAnsi"/>
          <w:sz w:val="22"/>
          <w:szCs w:val="22"/>
        </w:rPr>
        <w:t>alarming, especially knowing that HIV prevalence among MSM is rapidly growing, and according</w:t>
      </w:r>
      <w:r w:rsidR="00F67DEF">
        <w:rPr>
          <w:rFonts w:asciiTheme="minorHAnsi" w:hAnsiTheme="minorHAnsi" w:cstheme="minorHAnsi"/>
          <w:sz w:val="22"/>
          <w:szCs w:val="22"/>
        </w:rPr>
        <w:t xml:space="preserve"> to</w:t>
      </w:r>
      <w:r w:rsidRPr="00183A3D">
        <w:rPr>
          <w:rFonts w:asciiTheme="minorHAnsi" w:hAnsiTheme="minorHAnsi" w:cstheme="minorHAnsi"/>
          <w:sz w:val="22"/>
          <w:szCs w:val="22"/>
        </w:rPr>
        <w:t xml:space="preserve"> Bio BSS studies, the majority of them have sexual contacts with female partners as well</w:t>
      </w:r>
      <w:r w:rsidR="00E55D31">
        <w:rPr>
          <w:rFonts w:asciiTheme="minorHAnsi" w:hAnsiTheme="minorHAnsi" w:cstheme="minorHAnsi"/>
          <w:sz w:val="22"/>
          <w:szCs w:val="22"/>
        </w:rPr>
        <w:t xml:space="preserve">. </w:t>
      </w:r>
    </w:p>
    <w:p w:rsidR="00D862F1" w:rsidRPr="00183A3D" w:rsidRDefault="00D862F1" w:rsidP="001B4BD4">
      <w:pPr>
        <w:rPr>
          <w:rFonts w:asciiTheme="minorHAnsi" w:hAnsiTheme="minorHAnsi" w:cstheme="minorHAnsi"/>
          <w:sz w:val="22"/>
          <w:szCs w:val="22"/>
        </w:rPr>
      </w:pPr>
    </w:p>
    <w:p w:rsidR="008E26E3" w:rsidRDefault="00F83AE0" w:rsidP="00CD446F">
      <w:pPr>
        <w:pStyle w:val="Heading3"/>
      </w:pPr>
      <w:bookmarkStart w:id="6" w:name="_Toc517018610"/>
      <w:r>
        <w:t>MSM</w:t>
      </w:r>
      <w:bookmarkEnd w:id="6"/>
    </w:p>
    <w:p w:rsidR="00D862F1" w:rsidRPr="00D862F1" w:rsidRDefault="00D862F1" w:rsidP="00CD446F"/>
    <w:p w:rsidR="008E26E3" w:rsidRDefault="00F83AE0" w:rsidP="001B4BD4">
      <w:pPr>
        <w:pStyle w:val="Default"/>
        <w:jc w:val="both"/>
      </w:pPr>
      <w:r>
        <w:rPr>
          <w:rFonts w:asciiTheme="minorHAnsi" w:hAnsiTheme="minorHAnsi" w:cstheme="minorHAnsi"/>
          <w:sz w:val="22"/>
          <w:szCs w:val="22"/>
        </w:rPr>
        <w:t xml:space="preserve">Most recent Population Size Estimation (PSE) survey </w:t>
      </w:r>
      <w:r w:rsidRPr="00BC19B0">
        <w:rPr>
          <w:rFonts w:asciiTheme="minorHAnsi" w:hAnsiTheme="minorHAnsi" w:cstheme="minorHAnsi"/>
          <w:sz w:val="22"/>
          <w:szCs w:val="22"/>
        </w:rPr>
        <w:t>defined</w:t>
      </w:r>
      <w:r>
        <w:rPr>
          <w:rFonts w:ascii="Sylfaen" w:hAnsi="Sylfaen" w:cstheme="minorHAnsi"/>
          <w:sz w:val="22"/>
          <w:szCs w:val="22"/>
        </w:rPr>
        <w:t xml:space="preserve"> </w:t>
      </w:r>
      <w:r>
        <w:rPr>
          <w:rFonts w:asciiTheme="minorHAnsi" w:hAnsiTheme="minorHAnsi" w:cstheme="minorHAnsi"/>
          <w:sz w:val="22"/>
          <w:szCs w:val="22"/>
        </w:rPr>
        <w:t xml:space="preserve">the </w:t>
      </w:r>
      <w:r w:rsidRPr="00BC19B0">
        <w:rPr>
          <w:rFonts w:asciiTheme="minorHAnsi" w:hAnsiTheme="minorHAnsi" w:cstheme="minorHAnsi"/>
          <w:sz w:val="22"/>
          <w:szCs w:val="22"/>
        </w:rPr>
        <w:t>size</w:t>
      </w:r>
      <w:r>
        <w:rPr>
          <w:rFonts w:asciiTheme="minorHAnsi" w:hAnsiTheme="minorHAnsi" w:cstheme="minorHAnsi"/>
          <w:sz w:val="22"/>
          <w:szCs w:val="22"/>
        </w:rPr>
        <w:t xml:space="preserve"> of MSM population as</w:t>
      </w:r>
      <w:r w:rsidRPr="00024532">
        <w:rPr>
          <w:rFonts w:asciiTheme="minorHAnsi" w:hAnsiTheme="minorHAnsi" w:cstheme="minorHAnsi"/>
          <w:sz w:val="22"/>
          <w:szCs w:val="22"/>
        </w:rPr>
        <w:t xml:space="preserve"> 17 200</w:t>
      </w:r>
      <w:r>
        <w:rPr>
          <w:rStyle w:val="FootnoteReference"/>
          <w:rFonts w:asciiTheme="minorHAnsi" w:hAnsiTheme="minorHAnsi" w:cstheme="minorHAnsi"/>
          <w:sz w:val="22"/>
          <w:szCs w:val="22"/>
        </w:rPr>
        <w:footnoteReference w:id="13"/>
      </w:r>
      <w:r w:rsidRPr="00024532">
        <w:rPr>
          <w:rFonts w:asciiTheme="minorHAnsi" w:hAnsiTheme="minorHAnsi" w:cstheme="minorHAnsi"/>
          <w:sz w:val="22"/>
          <w:szCs w:val="22"/>
        </w:rPr>
        <w:t xml:space="preserve">. </w:t>
      </w:r>
      <w:r w:rsidRPr="00BC19B0">
        <w:rPr>
          <w:rFonts w:asciiTheme="minorHAnsi" w:hAnsiTheme="minorHAnsi" w:cstheme="minorHAnsi"/>
          <w:sz w:val="22"/>
          <w:szCs w:val="22"/>
        </w:rPr>
        <w:t>HIV prevalence</w:t>
      </w:r>
      <w:r w:rsidRPr="00024532">
        <w:rPr>
          <w:rFonts w:asciiTheme="minorHAnsi" w:hAnsiTheme="minorHAnsi" w:cstheme="minorHAnsi"/>
          <w:sz w:val="22"/>
          <w:szCs w:val="22"/>
        </w:rPr>
        <w:t xml:space="preserve"> in this group has increased dramatically </w:t>
      </w:r>
      <w:r>
        <w:rPr>
          <w:rFonts w:asciiTheme="minorHAnsi" w:hAnsiTheme="minorHAnsi" w:cstheme="minorHAnsi"/>
          <w:sz w:val="22"/>
          <w:szCs w:val="22"/>
        </w:rPr>
        <w:t xml:space="preserve">over </w:t>
      </w:r>
      <w:r w:rsidR="00470875">
        <w:rPr>
          <w:rFonts w:asciiTheme="minorHAnsi" w:hAnsiTheme="minorHAnsi" w:cstheme="minorHAnsi"/>
          <w:sz w:val="22"/>
          <w:szCs w:val="22"/>
        </w:rPr>
        <w:t xml:space="preserve">the </w:t>
      </w:r>
      <w:r>
        <w:rPr>
          <w:rFonts w:asciiTheme="minorHAnsi" w:hAnsiTheme="minorHAnsi" w:cstheme="minorHAnsi"/>
          <w:sz w:val="22"/>
          <w:szCs w:val="22"/>
        </w:rPr>
        <w:t xml:space="preserve">last </w:t>
      </w:r>
      <w:r w:rsidR="00470875">
        <w:rPr>
          <w:rFonts w:asciiTheme="minorHAnsi" w:hAnsiTheme="minorHAnsi" w:cstheme="minorHAnsi"/>
          <w:sz w:val="22"/>
          <w:szCs w:val="22"/>
        </w:rPr>
        <w:t>couple of</w:t>
      </w:r>
      <w:r>
        <w:rPr>
          <w:rFonts w:asciiTheme="minorHAnsi" w:hAnsiTheme="minorHAnsi" w:cstheme="minorHAnsi"/>
          <w:sz w:val="22"/>
          <w:szCs w:val="22"/>
        </w:rPr>
        <w:t xml:space="preserve"> years: </w:t>
      </w:r>
      <w:r w:rsidRPr="00024532">
        <w:rPr>
          <w:rFonts w:asciiTheme="minorHAnsi" w:hAnsiTheme="minorHAnsi" w:cstheme="minorHAnsi"/>
          <w:sz w:val="22"/>
          <w:szCs w:val="22"/>
        </w:rPr>
        <w:t>from 3.7% in 2007 up to 20.7%</w:t>
      </w:r>
      <w:r>
        <w:rPr>
          <w:rStyle w:val="FootnoteReference"/>
          <w:rFonts w:asciiTheme="minorHAnsi" w:hAnsiTheme="minorHAnsi" w:cstheme="minorHAnsi"/>
          <w:sz w:val="22"/>
          <w:szCs w:val="22"/>
        </w:rPr>
        <w:footnoteReference w:id="14"/>
      </w:r>
      <w:r w:rsidRPr="00024532">
        <w:rPr>
          <w:rFonts w:asciiTheme="minorHAnsi" w:hAnsiTheme="minorHAnsi" w:cstheme="minorHAnsi"/>
          <w:sz w:val="22"/>
          <w:szCs w:val="22"/>
        </w:rPr>
        <w:t xml:space="preserve"> in 2015.</w:t>
      </w:r>
      <w:r w:rsidR="00962177">
        <w:rPr>
          <w:rFonts w:asciiTheme="minorHAnsi" w:hAnsiTheme="minorHAnsi" w:cstheme="minorHAnsi"/>
          <w:sz w:val="22"/>
          <w:szCs w:val="22"/>
        </w:rPr>
        <w:t xml:space="preserve"> The </w:t>
      </w:r>
      <w:r w:rsidR="00962177" w:rsidRPr="00962177">
        <w:rPr>
          <w:rFonts w:asciiTheme="minorHAnsi" w:hAnsiTheme="minorHAnsi" w:cstheme="minorHAnsi"/>
          <w:sz w:val="22"/>
          <w:szCs w:val="22"/>
        </w:rPr>
        <w:t>recent MSM cohort study</w:t>
      </w:r>
      <w:r w:rsidR="00962177">
        <w:rPr>
          <w:rFonts w:asciiTheme="minorHAnsi" w:hAnsiTheme="minorHAnsi" w:cstheme="minorHAnsi"/>
          <w:sz w:val="22"/>
          <w:szCs w:val="22"/>
        </w:rPr>
        <w:t>, conducted by National AIDS Center</w:t>
      </w:r>
      <w:r w:rsidR="00962177" w:rsidRPr="00962177">
        <w:rPr>
          <w:rFonts w:asciiTheme="minorHAnsi" w:hAnsiTheme="minorHAnsi" w:cstheme="minorHAnsi"/>
          <w:sz w:val="22"/>
          <w:szCs w:val="22"/>
        </w:rPr>
        <w:t xml:space="preserve"> showed the very high incidence of HIV infection in this population</w:t>
      </w:r>
      <w:r w:rsidR="00962177">
        <w:rPr>
          <w:rFonts w:asciiTheme="minorHAnsi" w:hAnsiTheme="minorHAnsi" w:cstheme="minorHAnsi"/>
          <w:sz w:val="22"/>
          <w:szCs w:val="22"/>
        </w:rPr>
        <w:t xml:space="preserve">: </w:t>
      </w:r>
      <w:r w:rsidR="00962177" w:rsidRPr="00962177">
        <w:rPr>
          <w:rFonts w:asciiTheme="minorHAnsi" w:hAnsiTheme="minorHAnsi" w:cstheme="minorHAnsi"/>
          <w:sz w:val="22"/>
          <w:szCs w:val="22"/>
        </w:rPr>
        <w:t>up to 6 new infections per 100 person-years of observation. This pretty much explains rising prevalence of HIV</w:t>
      </w:r>
      <w:r>
        <w:rPr>
          <w:rStyle w:val="FootnoteReference"/>
          <w:rFonts w:asciiTheme="minorHAnsi" w:hAnsiTheme="minorHAnsi" w:cstheme="minorHAnsi"/>
          <w:sz w:val="22"/>
          <w:szCs w:val="22"/>
        </w:rPr>
        <w:footnoteReference w:id="15"/>
      </w:r>
      <w:r w:rsidR="00962177">
        <w:t xml:space="preserve">. </w:t>
      </w:r>
    </w:p>
    <w:p w:rsidR="00D862F1" w:rsidRDefault="00D862F1" w:rsidP="001B4BD4">
      <w:pPr>
        <w:pStyle w:val="Default"/>
        <w:jc w:val="both"/>
        <w:rPr>
          <w:rFonts w:asciiTheme="minorHAnsi" w:hAnsiTheme="minorHAnsi" w:cstheme="minorHAnsi"/>
          <w:sz w:val="22"/>
          <w:szCs w:val="22"/>
        </w:rPr>
      </w:pPr>
    </w:p>
    <w:p w:rsidR="008E26E3" w:rsidRDefault="00F83AE0" w:rsidP="007E68F8">
      <w:pPr>
        <w:pStyle w:val="Heading3"/>
      </w:pPr>
      <w:bookmarkStart w:id="7" w:name="_Toc517018611"/>
      <w:r>
        <w:t>PWID</w:t>
      </w:r>
      <w:bookmarkEnd w:id="7"/>
    </w:p>
    <w:p w:rsidR="00D862F1" w:rsidRPr="00D862F1" w:rsidRDefault="00D862F1" w:rsidP="007E68F8"/>
    <w:p w:rsidR="008E26E3" w:rsidRDefault="00F83AE0" w:rsidP="00AC4F56">
      <w:pPr>
        <w:pStyle w:val="Default"/>
        <w:jc w:val="both"/>
        <w:rPr>
          <w:rFonts w:asciiTheme="minorHAnsi" w:hAnsiTheme="minorHAnsi" w:cstheme="minorHAnsi"/>
          <w:sz w:val="22"/>
          <w:szCs w:val="22"/>
        </w:rPr>
      </w:pPr>
      <w:r w:rsidRPr="004C2B8D">
        <w:rPr>
          <w:rFonts w:asciiTheme="minorHAnsi" w:hAnsiTheme="minorHAnsi" w:cstheme="minorHAnsi"/>
          <w:sz w:val="22"/>
          <w:szCs w:val="22"/>
        </w:rPr>
        <w:t>Based on the latest population size estimation (PSE) survey conducted among PWIDs in 7 cities of</w:t>
      </w:r>
      <w:r>
        <w:rPr>
          <w:rFonts w:asciiTheme="minorHAnsi" w:hAnsiTheme="minorHAnsi" w:cstheme="minorHAnsi"/>
          <w:sz w:val="22"/>
          <w:szCs w:val="22"/>
        </w:rPr>
        <w:t xml:space="preserve"> Georgia (</w:t>
      </w:r>
      <w:r w:rsidRPr="00DA416F">
        <w:rPr>
          <w:rFonts w:asciiTheme="minorHAnsi" w:hAnsiTheme="minorHAnsi" w:cstheme="minorHAnsi"/>
          <w:sz w:val="22"/>
          <w:szCs w:val="22"/>
        </w:rPr>
        <w:t>2016-2017</w:t>
      </w:r>
      <w:r>
        <w:rPr>
          <w:rFonts w:asciiTheme="minorHAnsi" w:hAnsiTheme="minorHAnsi" w:cstheme="minorHAnsi"/>
          <w:sz w:val="22"/>
          <w:szCs w:val="22"/>
        </w:rPr>
        <w:t>)</w:t>
      </w:r>
      <w:r w:rsidRPr="00DA416F">
        <w:rPr>
          <w:rFonts w:asciiTheme="minorHAnsi" w:hAnsiTheme="minorHAnsi" w:cstheme="minorHAnsi"/>
          <w:sz w:val="22"/>
          <w:szCs w:val="22"/>
        </w:rPr>
        <w:t xml:space="preserve"> the national prevalence estimates for </w:t>
      </w:r>
      <w:r w:rsidR="00F67DEF">
        <w:rPr>
          <w:rFonts w:asciiTheme="minorHAnsi" w:hAnsiTheme="minorHAnsi" w:cstheme="minorHAnsi"/>
          <w:sz w:val="22"/>
          <w:szCs w:val="22"/>
        </w:rPr>
        <w:t xml:space="preserve">problem </w:t>
      </w:r>
      <w:r w:rsidRPr="00DA416F">
        <w:rPr>
          <w:rFonts w:asciiTheme="minorHAnsi" w:hAnsiTheme="minorHAnsi" w:cstheme="minorHAnsi"/>
          <w:sz w:val="22"/>
          <w:szCs w:val="22"/>
        </w:rPr>
        <w:t>drug use in adult population is 2.24% (2.13-2.39)</w:t>
      </w:r>
      <w:r>
        <w:rPr>
          <w:rStyle w:val="FootnoteReference"/>
          <w:rFonts w:asciiTheme="minorHAnsi" w:hAnsiTheme="minorHAnsi" w:cstheme="minorHAnsi"/>
          <w:sz w:val="22"/>
          <w:szCs w:val="22"/>
        </w:rPr>
        <w:footnoteReference w:id="16"/>
      </w:r>
      <w:r w:rsidRPr="00DA416F">
        <w:rPr>
          <w:rFonts w:asciiTheme="minorHAnsi" w:hAnsiTheme="minorHAnsi" w:cstheme="minorHAnsi"/>
          <w:sz w:val="22"/>
          <w:szCs w:val="22"/>
        </w:rPr>
        <w:t xml:space="preserve"> which is the third highest estimate in the world and the second in EE</w:t>
      </w:r>
      <w:r>
        <w:rPr>
          <w:rFonts w:asciiTheme="minorHAnsi" w:hAnsiTheme="minorHAnsi" w:cstheme="minorHAnsi"/>
          <w:sz w:val="22"/>
          <w:szCs w:val="22"/>
        </w:rPr>
        <w:t>C</w:t>
      </w:r>
      <w:r w:rsidRPr="00DA416F">
        <w:rPr>
          <w:rFonts w:asciiTheme="minorHAnsi" w:hAnsiTheme="minorHAnsi" w:cstheme="minorHAnsi"/>
          <w:sz w:val="22"/>
          <w:szCs w:val="22"/>
        </w:rPr>
        <w:t>A region (</w:t>
      </w:r>
      <w:r>
        <w:rPr>
          <w:rFonts w:asciiTheme="minorHAnsi" w:hAnsiTheme="minorHAnsi" w:cstheme="minorHAnsi"/>
          <w:sz w:val="22"/>
          <w:szCs w:val="22"/>
        </w:rPr>
        <w:t xml:space="preserve">see </w:t>
      </w:r>
      <w:r w:rsidRPr="000F53F1">
        <w:rPr>
          <w:rFonts w:asciiTheme="minorHAnsi" w:hAnsiTheme="minorHAnsi" w:cstheme="minorHAnsi"/>
          <w:sz w:val="22"/>
          <w:szCs w:val="22"/>
        </w:rPr>
        <w:fldChar w:fldCharType="begin"/>
      </w:r>
      <w:r w:rsidRPr="000F53F1">
        <w:rPr>
          <w:rFonts w:asciiTheme="minorHAnsi" w:hAnsiTheme="minorHAnsi" w:cstheme="minorHAnsi"/>
          <w:sz w:val="22"/>
          <w:szCs w:val="22"/>
        </w:rPr>
        <w:instrText xml:space="preserve"> REF _Ref512009852 \h  \* MERGEFORMAT </w:instrText>
      </w:r>
      <w:r w:rsidRPr="000F53F1">
        <w:rPr>
          <w:rFonts w:asciiTheme="minorHAnsi" w:hAnsiTheme="minorHAnsi" w:cstheme="minorHAnsi"/>
          <w:sz w:val="22"/>
          <w:szCs w:val="22"/>
        </w:rPr>
      </w:r>
      <w:r w:rsidRPr="000F53F1">
        <w:rPr>
          <w:rFonts w:asciiTheme="minorHAnsi" w:hAnsiTheme="minorHAnsi" w:cstheme="minorHAnsi"/>
          <w:sz w:val="22"/>
          <w:szCs w:val="22"/>
        </w:rPr>
        <w:fldChar w:fldCharType="separate"/>
      </w:r>
      <w:r w:rsidR="00406980" w:rsidRPr="00406980">
        <w:rPr>
          <w:rFonts w:asciiTheme="minorHAnsi" w:hAnsiTheme="minorHAnsi" w:cstheme="minorHAnsi"/>
          <w:sz w:val="22"/>
          <w:szCs w:val="22"/>
        </w:rPr>
        <w:t xml:space="preserve">Figure </w:t>
      </w:r>
      <w:r w:rsidR="00406980" w:rsidRPr="00406980">
        <w:rPr>
          <w:rFonts w:asciiTheme="minorHAnsi" w:hAnsiTheme="minorHAnsi" w:cstheme="minorHAnsi"/>
          <w:noProof/>
          <w:sz w:val="22"/>
          <w:szCs w:val="22"/>
        </w:rPr>
        <w:t>5</w:t>
      </w:r>
      <w:r w:rsidRPr="000F53F1">
        <w:rPr>
          <w:rFonts w:asciiTheme="minorHAnsi" w:hAnsiTheme="minorHAnsi" w:cstheme="minorHAnsi"/>
          <w:sz w:val="22"/>
          <w:szCs w:val="22"/>
        </w:rPr>
        <w:fldChar w:fldCharType="end"/>
      </w:r>
      <w:r w:rsidRPr="00DA416F">
        <w:rPr>
          <w:rFonts w:asciiTheme="minorHAnsi" w:hAnsiTheme="minorHAnsi" w:cstheme="minorHAnsi"/>
          <w:sz w:val="22"/>
          <w:szCs w:val="22"/>
        </w:rPr>
        <w:t xml:space="preserve">). </w:t>
      </w:r>
      <w:r w:rsidR="00F67DEF" w:rsidRPr="00DA416F">
        <w:rPr>
          <w:rFonts w:asciiTheme="minorHAnsi" w:hAnsiTheme="minorHAnsi" w:cstheme="minorHAnsi"/>
          <w:sz w:val="22"/>
          <w:szCs w:val="22"/>
        </w:rPr>
        <w:t>Based on the National Experts’ consensus</w:t>
      </w:r>
      <w:r w:rsidR="00F67DEF">
        <w:rPr>
          <w:rFonts w:asciiTheme="minorHAnsi" w:hAnsiTheme="minorHAnsi" w:cstheme="minorHAnsi"/>
          <w:sz w:val="22"/>
          <w:szCs w:val="22"/>
        </w:rPr>
        <w:t>, the estimated size of the PWID population</w:t>
      </w:r>
      <w:r w:rsidRPr="00DA416F">
        <w:rPr>
          <w:rFonts w:asciiTheme="minorHAnsi" w:hAnsiTheme="minorHAnsi" w:cstheme="minorHAnsi"/>
          <w:sz w:val="22"/>
          <w:szCs w:val="22"/>
        </w:rPr>
        <w:t xml:space="preserve"> </w:t>
      </w:r>
      <w:r w:rsidR="00F67DEF">
        <w:rPr>
          <w:rFonts w:asciiTheme="minorHAnsi" w:hAnsiTheme="minorHAnsi" w:cstheme="minorHAnsi"/>
          <w:sz w:val="22"/>
          <w:szCs w:val="22"/>
        </w:rPr>
        <w:t>was set at</w:t>
      </w:r>
      <w:r w:rsidRPr="00DA416F">
        <w:rPr>
          <w:rFonts w:asciiTheme="minorHAnsi" w:hAnsiTheme="minorHAnsi" w:cstheme="minorHAnsi"/>
          <w:sz w:val="22"/>
          <w:szCs w:val="22"/>
        </w:rPr>
        <w:t xml:space="preserve"> 52,500 (50,000-56,000) which indicates 5% increase of the population size since 2014</w:t>
      </w:r>
      <w:r w:rsidR="000F53F1">
        <w:rPr>
          <w:rFonts w:asciiTheme="minorHAnsi" w:hAnsiTheme="minorHAnsi" w:cstheme="minorHAnsi"/>
          <w:sz w:val="22"/>
          <w:szCs w:val="22"/>
        </w:rPr>
        <w:t xml:space="preserve"> </w:t>
      </w:r>
      <w:r w:rsidRPr="000F53F1">
        <w:rPr>
          <w:rFonts w:asciiTheme="minorHAnsi" w:hAnsiTheme="minorHAnsi" w:cstheme="minorHAnsi"/>
          <w:sz w:val="22"/>
          <w:szCs w:val="22"/>
        </w:rPr>
        <w:t>(</w:t>
      </w:r>
      <w:r w:rsidRPr="002829B9">
        <w:rPr>
          <w:rFonts w:asciiTheme="minorHAnsi" w:hAnsiTheme="minorHAnsi" w:cstheme="minorHAnsi"/>
          <w:sz w:val="22"/>
          <w:szCs w:val="22"/>
        </w:rPr>
        <w:t>see</w:t>
      </w:r>
      <w:r w:rsidRPr="002829B9">
        <w:rPr>
          <w:rFonts w:asciiTheme="minorHAnsi" w:hAnsiTheme="minorHAnsi" w:cstheme="minorHAnsi"/>
          <w:sz w:val="22"/>
          <w:szCs w:val="22"/>
        </w:rPr>
        <w:fldChar w:fldCharType="begin"/>
      </w:r>
      <w:r w:rsidRPr="002829B9">
        <w:rPr>
          <w:rFonts w:asciiTheme="minorHAnsi" w:hAnsiTheme="minorHAnsi" w:cstheme="minorHAnsi"/>
          <w:sz w:val="22"/>
          <w:szCs w:val="22"/>
        </w:rPr>
        <w:instrText xml:space="preserve"> REF _Ref512009914 \h  \* MERGEFORMAT </w:instrText>
      </w:r>
      <w:r w:rsidRPr="002829B9">
        <w:rPr>
          <w:rFonts w:asciiTheme="minorHAnsi" w:hAnsiTheme="minorHAnsi" w:cstheme="minorHAnsi"/>
          <w:sz w:val="22"/>
          <w:szCs w:val="22"/>
        </w:rPr>
      </w:r>
      <w:r w:rsidRPr="002829B9">
        <w:rPr>
          <w:rFonts w:asciiTheme="minorHAnsi" w:hAnsiTheme="minorHAnsi" w:cstheme="minorHAnsi"/>
          <w:sz w:val="22"/>
          <w:szCs w:val="22"/>
        </w:rPr>
        <w:fldChar w:fldCharType="separate"/>
      </w:r>
      <w:r w:rsidR="002829B9" w:rsidRPr="002829B9">
        <w:rPr>
          <w:rFonts w:asciiTheme="minorHAnsi" w:hAnsiTheme="minorHAnsi" w:cstheme="minorHAnsi"/>
          <w:sz w:val="22"/>
          <w:szCs w:val="22"/>
        </w:rPr>
        <w:t xml:space="preserve"> </w:t>
      </w:r>
      <w:r w:rsidR="00406980" w:rsidRPr="002829B9">
        <w:rPr>
          <w:rFonts w:asciiTheme="minorHAnsi" w:hAnsiTheme="minorHAnsi"/>
          <w:sz w:val="22"/>
          <w:szCs w:val="22"/>
        </w:rPr>
        <w:t xml:space="preserve">Figure </w:t>
      </w:r>
      <w:r w:rsidR="00406980" w:rsidRPr="002829B9">
        <w:rPr>
          <w:rFonts w:asciiTheme="minorHAnsi" w:hAnsiTheme="minorHAnsi"/>
          <w:noProof/>
          <w:sz w:val="22"/>
          <w:szCs w:val="22"/>
        </w:rPr>
        <w:t>6</w:t>
      </w:r>
      <w:r w:rsidRPr="002829B9">
        <w:rPr>
          <w:rFonts w:asciiTheme="minorHAnsi" w:hAnsiTheme="minorHAnsi" w:cstheme="minorHAnsi"/>
          <w:sz w:val="22"/>
          <w:szCs w:val="22"/>
        </w:rPr>
        <w:fldChar w:fldCharType="end"/>
      </w:r>
      <w:r w:rsidRPr="002829B9">
        <w:rPr>
          <w:rFonts w:asciiTheme="minorHAnsi" w:hAnsiTheme="minorHAnsi" w:cstheme="minorHAnsi"/>
          <w:sz w:val="22"/>
          <w:szCs w:val="22"/>
        </w:rPr>
        <w:t>)</w:t>
      </w:r>
      <w:r w:rsidRPr="000F53F1">
        <w:rPr>
          <w:rFonts w:asciiTheme="minorHAnsi" w:hAnsiTheme="minorHAnsi" w:cstheme="minorHAnsi"/>
          <w:sz w:val="22"/>
          <w:szCs w:val="22"/>
        </w:rPr>
        <w:t>. HIV prevalence in PWID has not changed since 2009, and it varies between</w:t>
      </w:r>
      <w:r w:rsidRPr="00183A3D">
        <w:rPr>
          <w:rFonts w:asciiTheme="minorHAnsi" w:hAnsiTheme="minorHAnsi" w:cstheme="minorHAnsi"/>
          <w:sz w:val="22"/>
          <w:szCs w:val="22"/>
        </w:rPr>
        <w:t xml:space="preserve"> 2.4 (95% CI 1.56-3.46) and 2.3 (95% CI 1.63-3.12).</w:t>
      </w:r>
    </w:p>
    <w:p w:rsidR="00CD446F" w:rsidRDefault="00CD446F" w:rsidP="00AC4F56">
      <w:pPr>
        <w:pStyle w:val="Default"/>
        <w:jc w:val="both"/>
        <w:rPr>
          <w:rFonts w:asciiTheme="minorHAnsi" w:hAnsiTheme="minorHAnsi" w:cstheme="minorHAnsi"/>
          <w:sz w:val="22"/>
          <w:szCs w:val="22"/>
        </w:rPr>
      </w:pPr>
    </w:p>
    <w:p w:rsidR="00CD446F" w:rsidRPr="00AC4F56" w:rsidRDefault="00F83AE0" w:rsidP="007E68F8">
      <w:pPr>
        <w:pStyle w:val="Heading3"/>
      </w:pPr>
      <w:bookmarkStart w:id="8" w:name="_Toc517018612"/>
      <w:r>
        <w:t>FSW’s</w:t>
      </w:r>
      <w:bookmarkEnd w:id="8"/>
    </w:p>
    <w:p w:rsidR="008E26E3" w:rsidRPr="00183A3D" w:rsidRDefault="008E26E3" w:rsidP="000E1516">
      <w:pPr>
        <w:rPr>
          <w:rFonts w:asciiTheme="minorHAnsi" w:hAnsiTheme="minorHAnsi" w:cstheme="minorHAnsi"/>
          <w:sz w:val="22"/>
          <w:szCs w:val="22"/>
        </w:rPr>
      </w:pPr>
    </w:p>
    <w:p w:rsidR="008E26E3" w:rsidRDefault="00F83AE0" w:rsidP="001B4BD4">
      <w:pPr>
        <w:pStyle w:val="Default"/>
        <w:jc w:val="both"/>
        <w:rPr>
          <w:rFonts w:asciiTheme="minorHAnsi" w:hAnsiTheme="minorHAnsi" w:cstheme="minorHAnsi"/>
          <w:sz w:val="22"/>
          <w:szCs w:val="22"/>
          <w:lang w:val="ka-GE"/>
        </w:rPr>
      </w:pPr>
      <w:r w:rsidRPr="006F228F">
        <w:rPr>
          <w:rFonts w:asciiTheme="minorHAnsi" w:hAnsiTheme="minorHAnsi" w:cstheme="minorHAnsi"/>
          <w:sz w:val="22"/>
          <w:szCs w:val="22"/>
        </w:rPr>
        <w:t>HIV infection</w:t>
      </w:r>
      <w:r w:rsidRPr="00774E79">
        <w:rPr>
          <w:rFonts w:asciiTheme="minorHAnsi" w:hAnsiTheme="minorHAnsi" w:cstheme="minorHAnsi"/>
          <w:sz w:val="22"/>
          <w:szCs w:val="22"/>
        </w:rPr>
        <w:t xml:space="preserve"> </w:t>
      </w:r>
      <w:r>
        <w:rPr>
          <w:rFonts w:asciiTheme="minorHAnsi" w:hAnsiTheme="minorHAnsi" w:cstheme="minorHAnsi"/>
          <w:sz w:val="22"/>
          <w:szCs w:val="22"/>
        </w:rPr>
        <w:t xml:space="preserve">rate </w:t>
      </w:r>
      <w:r w:rsidRPr="00774E79">
        <w:rPr>
          <w:rFonts w:asciiTheme="minorHAnsi" w:hAnsiTheme="minorHAnsi" w:cstheme="minorHAnsi"/>
          <w:sz w:val="22"/>
          <w:szCs w:val="22"/>
        </w:rPr>
        <w:t>among F</w:t>
      </w:r>
      <w:r>
        <w:rPr>
          <w:rFonts w:asciiTheme="minorHAnsi" w:hAnsiTheme="minorHAnsi" w:cstheme="minorHAnsi"/>
          <w:sz w:val="22"/>
          <w:szCs w:val="22"/>
        </w:rPr>
        <w:t xml:space="preserve">emale </w:t>
      </w:r>
      <w:r w:rsidRPr="00774E79">
        <w:rPr>
          <w:rFonts w:asciiTheme="minorHAnsi" w:hAnsiTheme="minorHAnsi" w:cstheme="minorHAnsi"/>
          <w:sz w:val="22"/>
          <w:szCs w:val="22"/>
        </w:rPr>
        <w:t>S</w:t>
      </w:r>
      <w:r>
        <w:rPr>
          <w:rFonts w:asciiTheme="minorHAnsi" w:hAnsiTheme="minorHAnsi" w:cstheme="minorHAnsi"/>
          <w:sz w:val="22"/>
          <w:szCs w:val="22"/>
        </w:rPr>
        <w:t xml:space="preserve">ex </w:t>
      </w:r>
      <w:r w:rsidRPr="00774E79">
        <w:rPr>
          <w:rFonts w:asciiTheme="minorHAnsi" w:hAnsiTheme="minorHAnsi" w:cstheme="minorHAnsi"/>
          <w:sz w:val="22"/>
          <w:szCs w:val="22"/>
        </w:rPr>
        <w:t>W</w:t>
      </w:r>
      <w:r>
        <w:rPr>
          <w:rFonts w:asciiTheme="minorHAnsi" w:hAnsiTheme="minorHAnsi" w:cstheme="minorHAnsi"/>
          <w:sz w:val="22"/>
          <w:szCs w:val="22"/>
        </w:rPr>
        <w:t>orker</w:t>
      </w:r>
      <w:r w:rsidRPr="00774E79">
        <w:rPr>
          <w:rFonts w:asciiTheme="minorHAnsi" w:hAnsiTheme="minorHAnsi" w:cstheme="minorHAnsi"/>
          <w:sz w:val="22"/>
          <w:szCs w:val="22"/>
        </w:rPr>
        <w:t xml:space="preserve">s </w:t>
      </w:r>
      <w:r>
        <w:rPr>
          <w:rFonts w:asciiTheme="minorHAnsi" w:hAnsiTheme="minorHAnsi" w:cstheme="minorHAnsi"/>
          <w:sz w:val="22"/>
          <w:szCs w:val="22"/>
        </w:rPr>
        <w:t xml:space="preserve">(FSW’s) </w:t>
      </w:r>
      <w:r w:rsidRPr="00774E79">
        <w:rPr>
          <w:rFonts w:asciiTheme="minorHAnsi" w:hAnsiTheme="minorHAnsi" w:cstheme="minorHAnsi"/>
          <w:sz w:val="22"/>
          <w:szCs w:val="22"/>
        </w:rPr>
        <w:t>remain</w:t>
      </w:r>
      <w:r>
        <w:rPr>
          <w:rFonts w:asciiTheme="minorHAnsi" w:hAnsiTheme="minorHAnsi" w:cstheme="minorHAnsi"/>
          <w:sz w:val="22"/>
          <w:szCs w:val="22"/>
        </w:rPr>
        <w:t xml:space="preserve">s low - less than 2% </w:t>
      </w:r>
      <w:r w:rsidRPr="00774E79">
        <w:rPr>
          <w:rFonts w:asciiTheme="minorHAnsi" w:hAnsiTheme="minorHAnsi" w:cstheme="minorHAnsi"/>
          <w:sz w:val="22"/>
          <w:szCs w:val="22"/>
        </w:rPr>
        <w:t xml:space="preserve">during the last 15 years </w:t>
      </w:r>
      <w:r>
        <w:rPr>
          <w:rFonts w:asciiTheme="minorHAnsi" w:hAnsiTheme="minorHAnsi" w:cstheme="minorHAnsi"/>
          <w:sz w:val="22"/>
          <w:szCs w:val="22"/>
        </w:rPr>
        <w:t>(see</w:t>
      </w:r>
      <w:r w:rsidRPr="00B22A0F">
        <w:rPr>
          <w:rFonts w:asciiTheme="minorHAnsi" w:hAnsiTheme="minorHAnsi" w:cstheme="minorHAnsi"/>
          <w:sz w:val="22"/>
          <w:szCs w:val="22"/>
        </w:rPr>
        <w:t xml:space="preserve"> </w:t>
      </w:r>
      <w:r w:rsidRPr="00B22A0F">
        <w:rPr>
          <w:rFonts w:asciiTheme="minorHAnsi" w:hAnsiTheme="minorHAnsi" w:cstheme="minorHAnsi"/>
          <w:sz w:val="22"/>
          <w:szCs w:val="22"/>
        </w:rPr>
        <w:fldChar w:fldCharType="begin"/>
      </w:r>
      <w:r w:rsidRPr="00B22A0F">
        <w:rPr>
          <w:rFonts w:asciiTheme="minorHAnsi" w:hAnsiTheme="minorHAnsi" w:cstheme="minorHAnsi"/>
          <w:sz w:val="22"/>
          <w:szCs w:val="22"/>
        </w:rPr>
        <w:instrText xml:space="preserve"> REF _Ref511826918 \h  \* MERGEFORMAT </w:instrText>
      </w:r>
      <w:r w:rsidRPr="00B22A0F">
        <w:rPr>
          <w:rFonts w:asciiTheme="minorHAnsi" w:hAnsiTheme="minorHAnsi" w:cstheme="minorHAnsi"/>
          <w:sz w:val="22"/>
          <w:szCs w:val="22"/>
        </w:rPr>
      </w:r>
      <w:r w:rsidRPr="00B22A0F">
        <w:rPr>
          <w:rFonts w:asciiTheme="minorHAnsi" w:hAnsiTheme="minorHAnsi" w:cstheme="minorHAnsi"/>
          <w:sz w:val="22"/>
          <w:szCs w:val="22"/>
        </w:rPr>
        <w:fldChar w:fldCharType="separate"/>
      </w:r>
      <w:r w:rsidR="00406980" w:rsidRPr="00406980">
        <w:rPr>
          <w:rFonts w:asciiTheme="minorHAnsi" w:hAnsiTheme="minorHAnsi"/>
          <w:sz w:val="22"/>
          <w:szCs w:val="22"/>
        </w:rPr>
        <w:t xml:space="preserve">Figure </w:t>
      </w:r>
      <w:r w:rsidR="00406980" w:rsidRPr="00406980">
        <w:rPr>
          <w:rFonts w:asciiTheme="minorHAnsi" w:hAnsiTheme="minorHAnsi"/>
          <w:noProof/>
          <w:sz w:val="22"/>
          <w:szCs w:val="22"/>
        </w:rPr>
        <w:t>8</w:t>
      </w:r>
      <w:r w:rsidRPr="00B22A0F">
        <w:rPr>
          <w:rFonts w:asciiTheme="minorHAnsi" w:hAnsiTheme="minorHAnsi" w:cstheme="minorHAnsi"/>
          <w:sz w:val="22"/>
          <w:szCs w:val="22"/>
        </w:rPr>
        <w:fldChar w:fldCharType="end"/>
      </w:r>
      <w:r>
        <w:rPr>
          <w:rFonts w:asciiTheme="minorHAnsi" w:hAnsiTheme="minorHAnsi" w:cstheme="minorHAnsi"/>
          <w:sz w:val="22"/>
          <w:szCs w:val="22"/>
        </w:rPr>
        <w:t>).</w:t>
      </w:r>
      <w:r w:rsidRPr="00774E79">
        <w:rPr>
          <w:rFonts w:asciiTheme="minorHAnsi" w:hAnsiTheme="minorHAnsi" w:cstheme="minorHAnsi"/>
          <w:sz w:val="22"/>
          <w:szCs w:val="22"/>
        </w:rPr>
        <w:t xml:space="preserve"> The latest P</w:t>
      </w:r>
      <w:r>
        <w:rPr>
          <w:rFonts w:asciiTheme="minorHAnsi" w:hAnsiTheme="minorHAnsi" w:cstheme="minorHAnsi"/>
          <w:sz w:val="22"/>
          <w:szCs w:val="22"/>
        </w:rPr>
        <w:t>SE</w:t>
      </w:r>
      <w:r w:rsidRPr="00774E79">
        <w:rPr>
          <w:rFonts w:asciiTheme="minorHAnsi" w:hAnsiTheme="minorHAnsi" w:cstheme="minorHAnsi"/>
          <w:sz w:val="22"/>
          <w:szCs w:val="22"/>
        </w:rPr>
        <w:t xml:space="preserve"> survey conducted in 2014, and the latest Bio</w:t>
      </w:r>
      <w:r>
        <w:rPr>
          <w:rFonts w:asciiTheme="minorHAnsi" w:hAnsiTheme="minorHAnsi" w:cstheme="minorHAnsi"/>
          <w:sz w:val="22"/>
          <w:szCs w:val="22"/>
        </w:rPr>
        <w:t xml:space="preserve"> </w:t>
      </w:r>
      <w:r w:rsidRPr="00774E79">
        <w:rPr>
          <w:rFonts w:asciiTheme="minorHAnsi" w:hAnsiTheme="minorHAnsi" w:cstheme="minorHAnsi"/>
          <w:sz w:val="22"/>
          <w:szCs w:val="22"/>
        </w:rPr>
        <w:t xml:space="preserve">BSS – in 2017. The latter also provided some corrections of PSE for Tbilisi and Batumi. The </w:t>
      </w:r>
      <w:r w:rsidRPr="002A23EA">
        <w:rPr>
          <w:rFonts w:asciiTheme="minorHAnsi" w:hAnsiTheme="minorHAnsi" w:cstheme="minorHAnsi"/>
          <w:sz w:val="22"/>
          <w:szCs w:val="22"/>
        </w:rPr>
        <w:t>estimated size</w:t>
      </w:r>
      <w:r w:rsidRPr="00774E79">
        <w:rPr>
          <w:rFonts w:asciiTheme="minorHAnsi" w:hAnsiTheme="minorHAnsi" w:cstheme="minorHAnsi"/>
          <w:sz w:val="22"/>
          <w:szCs w:val="22"/>
        </w:rPr>
        <w:t xml:space="preserve"> of sex workers </w:t>
      </w:r>
      <w:r w:rsidRPr="00774E79">
        <w:rPr>
          <w:rFonts w:asciiTheme="minorHAnsi" w:hAnsiTheme="minorHAnsi" w:cstheme="minorHAnsi"/>
          <w:sz w:val="22"/>
          <w:szCs w:val="22"/>
        </w:rPr>
        <w:lastRenderedPageBreak/>
        <w:t>population for Georgia is 6525</w:t>
      </w:r>
      <w:r>
        <w:rPr>
          <w:rStyle w:val="FootnoteReference"/>
          <w:rFonts w:asciiTheme="minorHAnsi" w:hAnsiTheme="minorHAnsi" w:cstheme="minorHAnsi"/>
          <w:sz w:val="22"/>
          <w:szCs w:val="22"/>
        </w:rPr>
        <w:footnoteReference w:id="17"/>
      </w:r>
      <w:r w:rsidRPr="00774E79">
        <w:rPr>
          <w:rFonts w:asciiTheme="minorHAnsi" w:hAnsiTheme="minorHAnsi" w:cstheme="minorHAnsi"/>
          <w:sz w:val="22"/>
          <w:szCs w:val="22"/>
        </w:rPr>
        <w:t>; for Tbilisi the estimated size is 600 and for Batumi - 700</w:t>
      </w:r>
      <w:r>
        <w:rPr>
          <w:rStyle w:val="FootnoteReference"/>
          <w:rFonts w:asciiTheme="minorHAnsi" w:hAnsiTheme="minorHAnsi" w:cstheme="minorHAnsi"/>
          <w:sz w:val="22"/>
          <w:szCs w:val="22"/>
        </w:rPr>
        <w:footnoteReference w:id="18"/>
      </w:r>
      <w:r w:rsidRPr="00774E79">
        <w:rPr>
          <w:rFonts w:asciiTheme="minorHAnsi" w:hAnsiTheme="minorHAnsi" w:cstheme="minorHAnsi"/>
          <w:sz w:val="22"/>
          <w:szCs w:val="22"/>
        </w:rPr>
        <w:t xml:space="preserve">. Majority of the sex workers surveyed represent the age group </w:t>
      </w:r>
      <w:r w:rsidRPr="00774E79">
        <w:rPr>
          <w:rFonts w:asciiTheme="minorHAnsi" w:hAnsiTheme="minorHAnsi" w:cstheme="minorHAnsi"/>
          <w:sz w:val="22"/>
          <w:szCs w:val="22"/>
          <w:lang w:val="ka-GE"/>
        </w:rPr>
        <w:t xml:space="preserve">40+. </w:t>
      </w:r>
    </w:p>
    <w:p w:rsidR="008E26E3" w:rsidRDefault="008E26E3" w:rsidP="001B4BD4">
      <w:pPr>
        <w:pStyle w:val="Default"/>
        <w:jc w:val="both"/>
        <w:rPr>
          <w:rFonts w:asciiTheme="minorHAnsi" w:hAnsiTheme="minorHAnsi" w:cstheme="minorHAnsi"/>
          <w:sz w:val="22"/>
          <w:szCs w:val="22"/>
          <w:lang w:val="ka-GE"/>
        </w:rPr>
      </w:pPr>
    </w:p>
    <w:p w:rsidR="008E26E3" w:rsidRDefault="00F83AE0" w:rsidP="001B4BD4">
      <w:pPr>
        <w:pStyle w:val="Default"/>
        <w:jc w:val="both"/>
        <w:rPr>
          <w:rFonts w:asciiTheme="minorHAnsi" w:hAnsiTheme="minorHAnsi"/>
          <w:sz w:val="22"/>
          <w:szCs w:val="22"/>
        </w:rPr>
      </w:pPr>
      <w:r w:rsidRPr="00774E79">
        <w:rPr>
          <w:rFonts w:asciiTheme="minorHAnsi" w:hAnsiTheme="minorHAnsi" w:cstheme="minorHAnsi"/>
          <w:sz w:val="22"/>
          <w:szCs w:val="22"/>
        </w:rPr>
        <w:t xml:space="preserve">The peculiarity of Georgian </w:t>
      </w:r>
      <w:r w:rsidR="00F00784">
        <w:rPr>
          <w:rFonts w:asciiTheme="minorHAnsi" w:hAnsiTheme="minorHAnsi" w:cstheme="minorHAnsi"/>
          <w:sz w:val="22"/>
          <w:szCs w:val="22"/>
        </w:rPr>
        <w:t xml:space="preserve">commercial </w:t>
      </w:r>
      <w:r w:rsidRPr="00774E79">
        <w:rPr>
          <w:rFonts w:asciiTheme="minorHAnsi" w:hAnsiTheme="minorHAnsi" w:cstheme="minorHAnsi"/>
          <w:sz w:val="22"/>
          <w:szCs w:val="22"/>
        </w:rPr>
        <w:t xml:space="preserve">sex, in contrast to other post-soviet countries, stays the same over 15 years - sex work, at least, the </w:t>
      </w:r>
      <w:r w:rsidR="00887D44">
        <w:rPr>
          <w:rFonts w:asciiTheme="minorHAnsi" w:hAnsiTheme="minorHAnsi" w:cstheme="minorHAnsi"/>
          <w:sz w:val="22"/>
          <w:szCs w:val="22"/>
        </w:rPr>
        <w:t>street and facility-based</w:t>
      </w:r>
      <w:r w:rsidRPr="00774E79">
        <w:rPr>
          <w:rFonts w:asciiTheme="minorHAnsi" w:hAnsiTheme="minorHAnsi" w:cstheme="minorHAnsi"/>
          <w:sz w:val="22"/>
          <w:szCs w:val="22"/>
        </w:rPr>
        <w:t xml:space="preserve"> sex work - do not overlap with injecting </w:t>
      </w:r>
      <w:r w:rsidRPr="002A23EA">
        <w:rPr>
          <w:rFonts w:asciiTheme="minorHAnsi" w:hAnsiTheme="minorHAnsi" w:cstheme="minorHAnsi"/>
          <w:sz w:val="22"/>
          <w:szCs w:val="22"/>
        </w:rPr>
        <w:t>drug use</w:t>
      </w:r>
      <w:r w:rsidRPr="00774E79">
        <w:rPr>
          <w:rFonts w:asciiTheme="minorHAnsi" w:hAnsiTheme="minorHAnsi" w:cstheme="minorHAnsi"/>
          <w:sz w:val="22"/>
          <w:szCs w:val="22"/>
        </w:rPr>
        <w:t xml:space="preserve">. One exciting new trend is increased use of non-injecting drugs </w:t>
      </w:r>
      <w:r w:rsidR="00F00784" w:rsidRPr="00774E79">
        <w:rPr>
          <w:rFonts w:asciiTheme="minorHAnsi" w:hAnsiTheme="minorHAnsi" w:cstheme="minorHAnsi"/>
          <w:sz w:val="22"/>
          <w:szCs w:val="22"/>
        </w:rPr>
        <w:t xml:space="preserve">among FSWs in both cities </w:t>
      </w:r>
      <w:r w:rsidRPr="00774E79">
        <w:rPr>
          <w:rFonts w:asciiTheme="minorHAnsi" w:hAnsiTheme="minorHAnsi" w:cstheme="minorHAnsi"/>
          <w:sz w:val="22"/>
          <w:szCs w:val="22"/>
        </w:rPr>
        <w:t xml:space="preserve">(sedatives/sleeping pills in Tbilisi and marijuana – in Batumi). </w:t>
      </w:r>
      <w:r w:rsidRPr="00774E79">
        <w:rPr>
          <w:rFonts w:asciiTheme="minorHAnsi" w:hAnsiTheme="minorHAnsi"/>
          <w:sz w:val="22"/>
          <w:szCs w:val="22"/>
        </w:rPr>
        <w:t>More significant proportions reported having used the non-injecting drug during the last 12 months in both cities, compared to 2014 survey (Tbilisi: 11% (2017) vs. 6.3% (2014) and Batumi: 20% (2017) vs. 5.8% (2014)). This increase is statistically significant.</w:t>
      </w:r>
      <w:r>
        <w:rPr>
          <w:rFonts w:asciiTheme="minorHAnsi" w:hAnsiTheme="minorHAnsi"/>
          <w:sz w:val="22"/>
          <w:szCs w:val="22"/>
        </w:rPr>
        <w:t xml:space="preserve"> </w:t>
      </w:r>
    </w:p>
    <w:p w:rsidR="00667C5A" w:rsidRDefault="00667C5A" w:rsidP="001B4BD4">
      <w:pPr>
        <w:pStyle w:val="Default"/>
        <w:jc w:val="both"/>
        <w:rPr>
          <w:rFonts w:asciiTheme="minorHAnsi" w:hAnsiTheme="minorHAnsi"/>
          <w:sz w:val="22"/>
          <w:szCs w:val="22"/>
        </w:rPr>
      </w:pPr>
    </w:p>
    <w:p w:rsidR="00667C5A" w:rsidRDefault="00F83AE0" w:rsidP="0024248A">
      <w:pPr>
        <w:pStyle w:val="Heading3"/>
      </w:pPr>
      <w:bookmarkStart w:id="9" w:name="_Toc517018613"/>
      <w:r>
        <w:t>Prisoners</w:t>
      </w:r>
      <w:bookmarkEnd w:id="9"/>
    </w:p>
    <w:p w:rsidR="008E26E3" w:rsidRDefault="008E26E3" w:rsidP="001B4BD4">
      <w:pPr>
        <w:pStyle w:val="Default"/>
        <w:jc w:val="both"/>
        <w:rPr>
          <w:rFonts w:asciiTheme="minorHAnsi" w:hAnsiTheme="minorHAnsi"/>
          <w:sz w:val="22"/>
          <w:szCs w:val="22"/>
        </w:rPr>
      </w:pPr>
    </w:p>
    <w:p w:rsidR="008E26E3" w:rsidRPr="00183A3D" w:rsidRDefault="00F83AE0" w:rsidP="001B4BD4">
      <w:pPr>
        <w:jc w:val="both"/>
        <w:rPr>
          <w:rFonts w:asciiTheme="minorHAnsi" w:hAnsiTheme="minorHAnsi" w:cstheme="minorHAnsi"/>
          <w:sz w:val="22"/>
          <w:szCs w:val="22"/>
        </w:rPr>
      </w:pPr>
      <w:r w:rsidRPr="00183A3D">
        <w:rPr>
          <w:rFonts w:asciiTheme="minorHAnsi" w:hAnsiTheme="minorHAnsi" w:cstheme="minorHAnsi"/>
          <w:sz w:val="22"/>
          <w:szCs w:val="22"/>
        </w:rPr>
        <w:t>The latest Bio BSS among prisoners was conducted in 2015. At the time, as of October 2015, there were 10201 (9876 males, 325 - females) prisoners in Georgian penitentiary system, which included 15 establishments. The HIV prevalence found by the survey was 1.4 %</w:t>
      </w:r>
      <w:r>
        <w:rPr>
          <w:rStyle w:val="FootnoteReference"/>
          <w:rFonts w:asciiTheme="minorHAnsi" w:hAnsiTheme="minorHAnsi" w:cstheme="minorHAnsi"/>
          <w:sz w:val="22"/>
          <w:szCs w:val="22"/>
        </w:rPr>
        <w:footnoteReference w:id="19"/>
      </w:r>
      <w:r w:rsidRPr="00183A3D">
        <w:rPr>
          <w:rFonts w:asciiTheme="minorHAnsi" w:hAnsiTheme="minorHAnsi" w:cstheme="minorHAnsi"/>
          <w:sz w:val="22"/>
          <w:szCs w:val="22"/>
        </w:rPr>
        <w:t>. In the previous survey of 2012, the prevalence was 0.3%. The increasing tendency of HIV spread did not demonstrate statistically significant change.</w:t>
      </w:r>
    </w:p>
    <w:p w:rsidR="008E26E3" w:rsidRDefault="008E26E3" w:rsidP="009B5253">
      <w:pPr>
        <w:pStyle w:val="Heading3"/>
      </w:pPr>
    </w:p>
    <w:p w:rsidR="00DF23F9" w:rsidRDefault="00F83AE0" w:rsidP="006E4459">
      <w:pPr>
        <w:pStyle w:val="Heading3"/>
      </w:pPr>
      <w:bookmarkStart w:id="10" w:name="_Toc517018614"/>
      <w:r>
        <w:t>General Population</w:t>
      </w:r>
      <w:bookmarkEnd w:id="10"/>
    </w:p>
    <w:p w:rsidR="006E4459" w:rsidRPr="002D557B" w:rsidRDefault="006E4459" w:rsidP="006E4459">
      <w:pPr>
        <w:rPr>
          <w:rFonts w:asciiTheme="minorHAnsi" w:hAnsiTheme="minorHAnsi" w:cstheme="minorHAnsi"/>
          <w:sz w:val="22"/>
          <w:szCs w:val="22"/>
        </w:rPr>
      </w:pPr>
    </w:p>
    <w:p w:rsidR="00506C44" w:rsidRDefault="00F83AE0" w:rsidP="00506C44">
      <w:pPr>
        <w:autoSpaceDE w:val="0"/>
        <w:autoSpaceDN w:val="0"/>
        <w:adjustRightInd w:val="0"/>
        <w:rPr>
          <w:rFonts w:asciiTheme="minorHAnsi" w:eastAsiaTheme="minorHAnsi" w:hAnsiTheme="minorHAnsi" w:cstheme="minorHAnsi"/>
          <w:color w:val="000000"/>
          <w:sz w:val="22"/>
          <w:szCs w:val="22"/>
        </w:rPr>
      </w:pPr>
      <w:r w:rsidRPr="002D557B">
        <w:rPr>
          <w:rFonts w:asciiTheme="minorHAnsi" w:eastAsiaTheme="minorHAnsi" w:hAnsiTheme="minorHAnsi" w:cstheme="minorHAnsi"/>
          <w:color w:val="000000"/>
          <w:sz w:val="22"/>
          <w:szCs w:val="22"/>
        </w:rPr>
        <w:t>HIV prevalence in general population is low 0.4%</w:t>
      </w:r>
      <w:r>
        <w:rPr>
          <w:rStyle w:val="FootnoteReference"/>
          <w:rFonts w:asciiTheme="minorHAnsi" w:eastAsiaTheme="minorHAnsi" w:hAnsiTheme="minorHAnsi" w:cstheme="minorHAnsi"/>
          <w:color w:val="000000"/>
          <w:sz w:val="22"/>
          <w:szCs w:val="22"/>
        </w:rPr>
        <w:footnoteReference w:id="20"/>
      </w:r>
      <w:r w:rsidRPr="002D557B">
        <w:rPr>
          <w:rFonts w:asciiTheme="minorHAnsi" w:eastAsiaTheme="minorHAnsi" w:hAnsiTheme="minorHAnsi" w:cstheme="minorHAnsi"/>
          <w:color w:val="000000"/>
          <w:sz w:val="22"/>
          <w:szCs w:val="22"/>
        </w:rPr>
        <w:t xml:space="preserve"> (400 per 100 000 population)</w:t>
      </w:r>
      <w:r w:rsidR="002D557B">
        <w:rPr>
          <w:rFonts w:asciiTheme="minorHAnsi" w:eastAsiaTheme="minorHAnsi" w:hAnsiTheme="minorHAnsi" w:cstheme="minorHAnsi"/>
          <w:color w:val="000000"/>
          <w:sz w:val="22"/>
          <w:szCs w:val="22"/>
        </w:rPr>
        <w:t xml:space="preserve">, and aids related mortality is 1.9 per 100 000 population, but </w:t>
      </w:r>
      <w:r w:rsidRPr="00506C44">
        <w:rPr>
          <w:rFonts w:asciiTheme="minorHAnsi" w:eastAsiaTheme="minorHAnsi" w:hAnsiTheme="minorHAnsi" w:cstheme="minorHAnsi"/>
          <w:color w:val="000000"/>
          <w:sz w:val="22"/>
          <w:szCs w:val="22"/>
        </w:rPr>
        <w:t xml:space="preserve">Georgia </w:t>
      </w:r>
      <w:r w:rsidR="002D557B">
        <w:rPr>
          <w:rFonts w:asciiTheme="minorHAnsi" w:eastAsiaTheme="minorHAnsi" w:hAnsiTheme="minorHAnsi" w:cstheme="minorHAnsi"/>
          <w:color w:val="000000"/>
          <w:sz w:val="22"/>
          <w:szCs w:val="22"/>
        </w:rPr>
        <w:t xml:space="preserve">still </w:t>
      </w:r>
      <w:r w:rsidRPr="00506C44">
        <w:rPr>
          <w:rFonts w:asciiTheme="minorHAnsi" w:eastAsiaTheme="minorHAnsi" w:hAnsiTheme="minorHAnsi" w:cstheme="minorHAnsi"/>
          <w:color w:val="000000"/>
          <w:sz w:val="22"/>
          <w:szCs w:val="22"/>
        </w:rPr>
        <w:t>faces a significant risk of an expanding epidemic due to widespread high-risk practices and growing HIV prevalence among PWID and MSM, the significant risk of sexual transmission of HIV through bridging populations, and patterns of high mobility specific to key populations.</w:t>
      </w:r>
    </w:p>
    <w:p w:rsidR="006E4459" w:rsidRPr="006E4459" w:rsidRDefault="006E4459" w:rsidP="006E4459"/>
    <w:p w:rsidR="008E26E3" w:rsidRPr="003C4513" w:rsidRDefault="00F83AE0" w:rsidP="009B5253">
      <w:pPr>
        <w:pStyle w:val="Heading3"/>
      </w:pPr>
      <w:bookmarkStart w:id="11" w:name="_Toc517018615"/>
      <w:r w:rsidRPr="003C4513">
        <w:t>Progress towards 90-90-90</w:t>
      </w:r>
      <w:bookmarkEnd w:id="11"/>
    </w:p>
    <w:p w:rsidR="008E26E3" w:rsidRDefault="008E26E3" w:rsidP="009B5253"/>
    <w:p w:rsidR="008E26E3" w:rsidRPr="00183A3D" w:rsidRDefault="00F83AE0" w:rsidP="009B5253">
      <w:pPr>
        <w:rPr>
          <w:rFonts w:asciiTheme="minorHAnsi" w:hAnsiTheme="minorHAnsi" w:cstheme="minorHAnsi"/>
          <w:sz w:val="22"/>
          <w:szCs w:val="22"/>
        </w:rPr>
      </w:pPr>
      <w:r w:rsidRPr="00183A3D">
        <w:rPr>
          <w:rFonts w:asciiTheme="minorHAnsi" w:hAnsiTheme="minorHAnsi" w:cstheme="minorHAnsi"/>
          <w:sz w:val="22"/>
          <w:szCs w:val="22"/>
        </w:rPr>
        <w:t>Analysis of national data on fast-track 90-90-90 targets shows that the significant gap in the cascade of HIV care continuum is at the stage of HIV diagnosis with only 48% of the estimated number of people living with HIV aware of their status.</w:t>
      </w:r>
    </w:p>
    <w:p w:rsidR="008E26E3" w:rsidRPr="00183A3D" w:rsidRDefault="008E26E3" w:rsidP="009B5253">
      <w:pPr>
        <w:rPr>
          <w:rFonts w:asciiTheme="minorHAnsi" w:hAnsiTheme="minorHAnsi" w:cstheme="minorHAnsi"/>
          <w:sz w:val="22"/>
          <w:szCs w:val="22"/>
        </w:rPr>
      </w:pPr>
    </w:p>
    <w:p w:rsidR="008E26E3" w:rsidRPr="00183A3D" w:rsidRDefault="00F83AE0" w:rsidP="009B5253">
      <w:pPr>
        <w:rPr>
          <w:rFonts w:asciiTheme="minorHAnsi" w:hAnsiTheme="minorHAnsi" w:cstheme="minorHAnsi"/>
          <w:sz w:val="22"/>
          <w:szCs w:val="22"/>
        </w:rPr>
      </w:pPr>
      <w:r w:rsidRPr="00183A3D">
        <w:rPr>
          <w:rFonts w:asciiTheme="minorHAnsi" w:hAnsiTheme="minorHAnsi" w:cstheme="minorHAnsi"/>
          <w:sz w:val="22"/>
          <w:szCs w:val="22"/>
        </w:rPr>
        <w:t xml:space="preserve">While diagnosis remains the primary challenge, the country has made remarkable progress on the right side of the cascade from diagnosis through viral suppression. Georgia implemented </w:t>
      </w:r>
      <w:r w:rsidR="00EA5F48">
        <w:rPr>
          <w:rFonts w:asciiTheme="minorHAnsi" w:hAnsiTheme="minorHAnsi" w:cstheme="minorHAnsi"/>
          <w:sz w:val="22"/>
          <w:szCs w:val="22"/>
        </w:rPr>
        <w:t>‘</w:t>
      </w:r>
      <w:r w:rsidRPr="00183A3D">
        <w:rPr>
          <w:rFonts w:asciiTheme="minorHAnsi" w:hAnsiTheme="minorHAnsi" w:cstheme="minorHAnsi"/>
          <w:sz w:val="22"/>
          <w:szCs w:val="22"/>
        </w:rPr>
        <w:t>treat all</w:t>
      </w:r>
      <w:r w:rsidR="00EA5F48">
        <w:rPr>
          <w:rFonts w:asciiTheme="minorHAnsi" w:hAnsiTheme="minorHAnsi" w:cstheme="minorHAnsi"/>
          <w:sz w:val="22"/>
          <w:szCs w:val="22"/>
        </w:rPr>
        <w:t>’</w:t>
      </w:r>
      <w:r w:rsidRPr="00183A3D">
        <w:rPr>
          <w:rFonts w:asciiTheme="minorHAnsi" w:hAnsiTheme="minorHAnsi" w:cstheme="minorHAnsi"/>
          <w:sz w:val="22"/>
          <w:szCs w:val="22"/>
        </w:rPr>
        <w:t xml:space="preserve"> policy in 2015, and since then all HIV positive persons </w:t>
      </w:r>
      <w:r w:rsidR="00F00784">
        <w:rPr>
          <w:rFonts w:asciiTheme="minorHAnsi" w:hAnsiTheme="minorHAnsi" w:cstheme="minorHAnsi"/>
          <w:sz w:val="22"/>
          <w:szCs w:val="22"/>
        </w:rPr>
        <w:t xml:space="preserve">have been </w:t>
      </w:r>
      <w:r w:rsidRPr="00183A3D">
        <w:rPr>
          <w:rFonts w:asciiTheme="minorHAnsi" w:hAnsiTheme="minorHAnsi" w:cstheme="minorHAnsi"/>
          <w:sz w:val="22"/>
          <w:szCs w:val="22"/>
        </w:rPr>
        <w:t>offered antiretroviral therapy (ART) regardless of immune status or disease stage. The country is approaching fast-track targets for ART and viral suppression. Among diagnosed persons ART coverage increased from 62% in 2015 to 81% in 2017; viral suppression rates among those on treatment increased from 84% in 2015 to 89% in 2017.</w:t>
      </w:r>
    </w:p>
    <w:p w:rsidR="008E26E3" w:rsidRPr="00183A3D" w:rsidRDefault="008E26E3" w:rsidP="009B5253">
      <w:pPr>
        <w:rPr>
          <w:rFonts w:asciiTheme="minorHAnsi" w:hAnsiTheme="minorHAnsi" w:cstheme="minorHAnsi"/>
        </w:rPr>
      </w:pPr>
    </w:p>
    <w:p w:rsidR="008E26E3" w:rsidRPr="00183A3D" w:rsidRDefault="00F83AE0" w:rsidP="009B5253">
      <w:pPr>
        <w:rPr>
          <w:rFonts w:asciiTheme="minorHAnsi" w:hAnsiTheme="minorHAnsi" w:cstheme="minorHAnsi"/>
          <w:sz w:val="22"/>
          <w:szCs w:val="22"/>
        </w:rPr>
      </w:pPr>
      <w:r w:rsidRPr="00183A3D">
        <w:rPr>
          <w:rFonts w:asciiTheme="minorHAnsi" w:hAnsiTheme="minorHAnsi" w:cstheme="minorHAnsi"/>
          <w:sz w:val="22"/>
          <w:szCs w:val="22"/>
        </w:rPr>
        <w:lastRenderedPageBreak/>
        <w:t>Excellent results are achieved among children, but it also should be mentioned number of children living with HIV is very low in Georgia (estimated 45 children &lt;15 years), indicating the effectiveness of national effort towards elimination of mother to child transmission of HIV.</w:t>
      </w:r>
    </w:p>
    <w:p w:rsidR="008E26E3" w:rsidRPr="00183A3D" w:rsidRDefault="008E26E3" w:rsidP="009B5253">
      <w:pPr>
        <w:rPr>
          <w:rFonts w:asciiTheme="minorHAnsi" w:hAnsiTheme="minorHAnsi" w:cstheme="minorHAnsi"/>
          <w:sz w:val="22"/>
          <w:szCs w:val="22"/>
        </w:rPr>
      </w:pPr>
    </w:p>
    <w:p w:rsidR="008E26E3" w:rsidRPr="00183A3D" w:rsidRDefault="00F83AE0" w:rsidP="009B5253">
      <w:pPr>
        <w:rPr>
          <w:rFonts w:asciiTheme="minorHAnsi" w:hAnsiTheme="minorHAnsi" w:cstheme="minorHAnsi"/>
          <w:sz w:val="22"/>
          <w:szCs w:val="22"/>
        </w:rPr>
      </w:pPr>
      <w:r w:rsidRPr="00183A3D">
        <w:rPr>
          <w:rFonts w:asciiTheme="minorHAnsi" w:hAnsiTheme="minorHAnsi" w:cstheme="minorHAnsi"/>
          <w:sz w:val="22"/>
          <w:szCs w:val="22"/>
        </w:rPr>
        <w:t>Nevertheless, the significant gap in the diagnosis stage undermines accomplishments in treatment provision and on a population level only 35% of PLHIV are virally suppressed, which is not sufficient to derive maximum individual and public health benefits of ART.</w:t>
      </w:r>
    </w:p>
    <w:p w:rsidR="00101442" w:rsidRDefault="00101442" w:rsidP="001B4BD4">
      <w:pPr>
        <w:pStyle w:val="Heading3"/>
      </w:pPr>
    </w:p>
    <w:p w:rsidR="008E26E3" w:rsidRDefault="00F83AE0" w:rsidP="001B4BD4">
      <w:pPr>
        <w:pStyle w:val="Heading3"/>
      </w:pPr>
      <w:bookmarkStart w:id="12" w:name="_Toc517018616"/>
      <w:r w:rsidRPr="000B5540">
        <w:t>Management of co-infections</w:t>
      </w:r>
      <w:bookmarkEnd w:id="12"/>
    </w:p>
    <w:p w:rsidR="008E26E3" w:rsidRPr="00644D7A" w:rsidRDefault="008E26E3" w:rsidP="001B4BD4"/>
    <w:p w:rsidR="008E26E3" w:rsidRPr="00183A3D" w:rsidRDefault="00F83AE0" w:rsidP="001B4BD4">
      <w:pPr>
        <w:rPr>
          <w:rFonts w:asciiTheme="minorHAnsi" w:hAnsiTheme="minorHAnsi" w:cstheme="minorHAnsi"/>
          <w:sz w:val="22"/>
          <w:szCs w:val="22"/>
        </w:rPr>
      </w:pPr>
      <w:r w:rsidRPr="00183A3D">
        <w:rPr>
          <w:rFonts w:asciiTheme="minorHAnsi" w:hAnsiTheme="minorHAnsi" w:cstheme="minorHAnsi"/>
          <w:sz w:val="22"/>
          <w:szCs w:val="22"/>
        </w:rPr>
        <w:t>The critical part of HIV treatment and care service delivery is the management of co-infections, particularly of tuberculosis and HCV infection, which are two major causes of death among PLHIV in Georgia.</w:t>
      </w:r>
      <w:r>
        <w:rPr>
          <w:rStyle w:val="FootnoteReference"/>
          <w:rFonts w:asciiTheme="minorHAnsi" w:hAnsiTheme="minorHAnsi" w:cstheme="minorHAnsi"/>
          <w:sz w:val="22"/>
          <w:szCs w:val="22"/>
        </w:rPr>
        <w:footnoteReference w:id="21"/>
      </w:r>
      <w:r w:rsidRPr="00183A3D">
        <w:rPr>
          <w:rFonts w:asciiTheme="minorHAnsi" w:hAnsiTheme="minorHAnsi" w:cstheme="minorHAnsi"/>
          <w:sz w:val="22"/>
          <w:szCs w:val="22"/>
        </w:rPr>
        <w:t xml:space="preserve"> </w:t>
      </w:r>
    </w:p>
    <w:p w:rsidR="008E26E3" w:rsidRPr="00183A3D" w:rsidRDefault="008E26E3" w:rsidP="001B4BD4">
      <w:pPr>
        <w:rPr>
          <w:rFonts w:asciiTheme="minorHAnsi" w:hAnsiTheme="minorHAnsi" w:cstheme="minorHAnsi"/>
          <w:sz w:val="22"/>
          <w:szCs w:val="22"/>
        </w:rPr>
      </w:pPr>
    </w:p>
    <w:p w:rsidR="008E26E3" w:rsidRPr="00183A3D" w:rsidRDefault="00F83AE0" w:rsidP="001B4BD4">
      <w:pPr>
        <w:rPr>
          <w:rFonts w:asciiTheme="minorHAnsi" w:hAnsiTheme="minorHAnsi" w:cstheme="minorHAnsi"/>
          <w:sz w:val="22"/>
          <w:szCs w:val="22"/>
        </w:rPr>
      </w:pPr>
      <w:r w:rsidRPr="00183A3D">
        <w:rPr>
          <w:rFonts w:asciiTheme="minorHAnsi" w:hAnsiTheme="minorHAnsi" w:cstheme="minorHAnsi"/>
          <w:sz w:val="22"/>
          <w:szCs w:val="22"/>
        </w:rPr>
        <w:t xml:space="preserve">There is active collaboration between TB and HIV services ensuring effective implementation of collaborative HIV/TB activities, including HIV screening of all persons with active TB disease,  TB case finding among HIV positive persons and provision of treatment for both diseases. The prevalence of HIV among TB patients remained low – below 5% at all time points over the last decade. Prevalence of TB among newly diagnosed </w:t>
      </w:r>
      <w:r w:rsidR="00EA5F48">
        <w:rPr>
          <w:rFonts w:asciiTheme="minorHAnsi" w:hAnsiTheme="minorHAnsi" w:cstheme="minorHAnsi"/>
          <w:sz w:val="22"/>
          <w:szCs w:val="22"/>
        </w:rPr>
        <w:t>PLHIV</w:t>
      </w:r>
      <w:r w:rsidR="00EA5F48" w:rsidRPr="00183A3D">
        <w:rPr>
          <w:rFonts w:asciiTheme="minorHAnsi" w:hAnsiTheme="minorHAnsi" w:cstheme="minorHAnsi"/>
          <w:sz w:val="22"/>
          <w:szCs w:val="22"/>
        </w:rPr>
        <w:t xml:space="preserve"> </w:t>
      </w:r>
      <w:r w:rsidRPr="00183A3D">
        <w:rPr>
          <w:rFonts w:asciiTheme="minorHAnsi" w:hAnsiTheme="minorHAnsi" w:cstheme="minorHAnsi"/>
          <w:sz w:val="22"/>
          <w:szCs w:val="22"/>
        </w:rPr>
        <w:t>is around 5-7%, and in the vast majority of cases TB is diagnosed first, and then HIV is identified. Many of the TB/HIV co-infected patients already have deteriorated immune system, and most likely TB co-infection is the result of late HIV diagnosis. That is why TB is the major cause of death in HIV persons despite the universal availability of treatment for both diseases. Estimates of TB/HIV treatment coverage is over 90% and significantly exceed global and European coverage (</w:t>
      </w:r>
      <w:r w:rsidRPr="00183A3D">
        <w:rPr>
          <w:rFonts w:asciiTheme="minorHAnsi" w:hAnsiTheme="minorHAnsi" w:cstheme="minorHAnsi"/>
          <w:sz w:val="22"/>
          <w:szCs w:val="22"/>
        </w:rPr>
        <w:fldChar w:fldCharType="begin"/>
      </w:r>
      <w:r w:rsidRPr="00183A3D">
        <w:rPr>
          <w:rFonts w:asciiTheme="minorHAnsi" w:hAnsiTheme="minorHAnsi" w:cstheme="minorHAnsi"/>
          <w:sz w:val="22"/>
          <w:szCs w:val="22"/>
        </w:rPr>
        <w:instrText xml:space="preserve"> REF _Ref515385877 \h  \* MERGEFORMAT </w:instrText>
      </w:r>
      <w:r w:rsidRPr="00183A3D">
        <w:rPr>
          <w:rFonts w:asciiTheme="minorHAnsi" w:hAnsiTheme="minorHAnsi" w:cstheme="minorHAnsi"/>
          <w:sz w:val="22"/>
          <w:szCs w:val="22"/>
        </w:rPr>
      </w:r>
      <w:r w:rsidRPr="00183A3D">
        <w:rPr>
          <w:rFonts w:asciiTheme="minorHAnsi" w:hAnsiTheme="minorHAnsi" w:cstheme="minorHAnsi"/>
          <w:sz w:val="22"/>
          <w:szCs w:val="22"/>
        </w:rPr>
        <w:fldChar w:fldCharType="separate"/>
      </w:r>
      <w:r w:rsidR="00406980" w:rsidRPr="00406980">
        <w:rPr>
          <w:rFonts w:asciiTheme="minorHAnsi" w:hAnsiTheme="minorHAnsi" w:cstheme="minorHAnsi"/>
          <w:sz w:val="22"/>
          <w:szCs w:val="22"/>
        </w:rPr>
        <w:t xml:space="preserve">   F</w:t>
      </w:r>
      <w:r w:rsidR="00406980" w:rsidRPr="007F4471">
        <w:rPr>
          <w:rFonts w:asciiTheme="minorHAnsi" w:hAnsiTheme="minorHAnsi" w:cstheme="minorHAnsi"/>
          <w:sz w:val="22"/>
          <w:szCs w:val="22"/>
        </w:rPr>
        <w:t>igure</w:t>
      </w:r>
      <w:r w:rsidR="00406980" w:rsidRPr="007F4471">
        <w:rPr>
          <w:rFonts w:asciiTheme="minorHAnsi" w:hAnsiTheme="minorHAnsi" w:cstheme="minorHAnsi"/>
          <w:noProof/>
          <w:sz w:val="22"/>
          <w:szCs w:val="22"/>
        </w:rPr>
        <w:t xml:space="preserve"> </w:t>
      </w:r>
      <w:r w:rsidR="00406980" w:rsidRPr="007F4471">
        <w:rPr>
          <w:rFonts w:asciiTheme="minorHAnsi" w:hAnsiTheme="minorHAnsi"/>
          <w:noProof/>
          <w:sz w:val="22"/>
          <w:szCs w:val="22"/>
        </w:rPr>
        <w:t>10</w:t>
      </w:r>
      <w:r w:rsidRPr="00183A3D">
        <w:rPr>
          <w:rFonts w:asciiTheme="minorHAnsi" w:hAnsiTheme="minorHAnsi" w:cstheme="minorHAnsi"/>
          <w:sz w:val="22"/>
          <w:szCs w:val="22"/>
        </w:rPr>
        <w:fldChar w:fldCharType="end"/>
      </w:r>
      <w:r w:rsidRPr="00183A3D">
        <w:rPr>
          <w:rFonts w:asciiTheme="minorHAnsi" w:hAnsiTheme="minorHAnsi" w:cstheme="minorHAnsi"/>
          <w:sz w:val="22"/>
          <w:szCs w:val="22"/>
        </w:rPr>
        <w:t>).</w:t>
      </w:r>
      <w:r>
        <w:rPr>
          <w:rStyle w:val="FootnoteReference"/>
          <w:rFonts w:asciiTheme="minorHAnsi" w:hAnsiTheme="minorHAnsi" w:cstheme="minorHAnsi"/>
          <w:sz w:val="22"/>
          <w:szCs w:val="22"/>
        </w:rPr>
        <w:footnoteReference w:id="22"/>
      </w:r>
      <w:r>
        <w:rPr>
          <w:rStyle w:val="FootnoteReference"/>
          <w:rFonts w:ascii="Symbol" w:hAnsi="Symbol" w:cstheme="minorHAnsi"/>
          <w:sz w:val="22"/>
          <w:szCs w:val="22"/>
        </w:rPr>
        <w:footnoteReference w:customMarkFollows="1" w:id="23"/>
        <w:sym w:font="Symbol" w:char="F02C"/>
      </w:r>
      <w:r w:rsidRPr="00183A3D">
        <w:rPr>
          <w:rFonts w:asciiTheme="minorHAnsi" w:hAnsiTheme="minorHAnsi" w:cstheme="minorHAnsi"/>
          <w:sz w:val="22"/>
          <w:szCs w:val="22"/>
        </w:rPr>
        <w:t xml:space="preserve"> </w:t>
      </w:r>
      <w:r>
        <w:rPr>
          <w:rStyle w:val="FootnoteReference"/>
          <w:rFonts w:asciiTheme="minorHAnsi" w:hAnsiTheme="minorHAnsi" w:cstheme="minorHAnsi"/>
          <w:sz w:val="22"/>
          <w:szCs w:val="22"/>
        </w:rPr>
        <w:footnoteReference w:id="24"/>
      </w:r>
      <w:r>
        <w:rPr>
          <w:rStyle w:val="FootnoteReference"/>
          <w:rFonts w:ascii="Symbol" w:hAnsi="Symbol" w:cstheme="minorHAnsi"/>
          <w:sz w:val="22"/>
          <w:szCs w:val="22"/>
        </w:rPr>
        <w:footnoteReference w:customMarkFollows="1" w:id="25"/>
        <w:sym w:font="Symbol" w:char="F02C"/>
      </w:r>
      <w:r>
        <w:rPr>
          <w:rStyle w:val="FootnoteReference"/>
          <w:rFonts w:asciiTheme="minorHAnsi" w:hAnsiTheme="minorHAnsi" w:cstheme="minorHAnsi"/>
          <w:sz w:val="22"/>
          <w:szCs w:val="22"/>
        </w:rPr>
        <w:footnoteReference w:id="26"/>
      </w:r>
    </w:p>
    <w:p w:rsidR="002643B1" w:rsidRDefault="00F83AE0">
      <w:pPr>
        <w:rPr>
          <w:i/>
          <w:color w:val="FF0000"/>
        </w:rPr>
      </w:pPr>
      <w:r>
        <w:rPr>
          <w:i/>
          <w:color w:val="FF0000"/>
        </w:rPr>
        <w:br w:type="page"/>
      </w:r>
    </w:p>
    <w:p w:rsidR="008E26E3" w:rsidRPr="00CF4148" w:rsidRDefault="008E26E3" w:rsidP="00CF4148">
      <w:pPr>
        <w:rPr>
          <w:i/>
          <w:color w:val="FF0000"/>
        </w:rPr>
      </w:pPr>
    </w:p>
    <w:p w:rsidR="008E26E3" w:rsidRDefault="00F83AE0" w:rsidP="00A3152C">
      <w:pPr>
        <w:pStyle w:val="Heading2"/>
        <w:numPr>
          <w:ilvl w:val="0"/>
          <w:numId w:val="2"/>
        </w:numPr>
      </w:pPr>
      <w:bookmarkStart w:id="13" w:name="_Toc517018617"/>
      <w:r>
        <w:t>HIV/AIDS National Response</w:t>
      </w:r>
      <w:r w:rsidR="002A798D">
        <w:t xml:space="preserve"> – General Approach, Goal, and Strategic </w:t>
      </w:r>
      <w:r w:rsidR="00BC04B2">
        <w:t>Objectives</w:t>
      </w:r>
      <w:bookmarkEnd w:id="13"/>
    </w:p>
    <w:p w:rsidR="008E26E3" w:rsidRPr="00183A3D" w:rsidRDefault="008E26E3" w:rsidP="00C828CB">
      <w:pPr>
        <w:rPr>
          <w:rFonts w:asciiTheme="minorHAnsi" w:hAnsiTheme="minorHAnsi" w:cstheme="minorHAnsi"/>
        </w:rPr>
      </w:pPr>
    </w:p>
    <w:p w:rsidR="000806D3" w:rsidRDefault="00F83AE0" w:rsidP="00F124C2">
      <w:pPr>
        <w:rPr>
          <w:rFonts w:asciiTheme="minorHAnsi" w:hAnsiTheme="minorHAnsi" w:cstheme="minorHAnsi"/>
          <w:sz w:val="22"/>
          <w:szCs w:val="22"/>
        </w:rPr>
      </w:pPr>
      <w:r w:rsidRPr="00183A3D">
        <w:rPr>
          <w:rFonts w:asciiTheme="minorHAnsi" w:hAnsiTheme="minorHAnsi" w:cstheme="minorHAnsi"/>
          <w:sz w:val="22"/>
          <w:szCs w:val="22"/>
        </w:rPr>
        <w:t>Georgia has achieved significant progress in several directions</w:t>
      </w:r>
      <w:r w:rsidR="00AA6325">
        <w:rPr>
          <w:rFonts w:asciiTheme="minorHAnsi" w:hAnsiTheme="minorHAnsi" w:cstheme="minorHAnsi"/>
          <w:sz w:val="22"/>
          <w:szCs w:val="22"/>
        </w:rPr>
        <w:t xml:space="preserve"> in the fight against HIV/AIDS</w:t>
      </w:r>
      <w:r w:rsidRPr="00183A3D">
        <w:rPr>
          <w:rFonts w:asciiTheme="minorHAnsi" w:hAnsiTheme="minorHAnsi" w:cstheme="minorHAnsi"/>
          <w:sz w:val="22"/>
          <w:szCs w:val="22"/>
        </w:rPr>
        <w:t>, especially in treatment outcomes, but</w:t>
      </w:r>
      <w:r>
        <w:rPr>
          <w:rFonts w:asciiTheme="minorHAnsi" w:hAnsiTheme="minorHAnsi" w:cstheme="minorHAnsi"/>
          <w:sz w:val="22"/>
          <w:szCs w:val="22"/>
        </w:rPr>
        <w:t xml:space="preserve"> </w:t>
      </w:r>
      <w:r w:rsidR="0035599C">
        <w:rPr>
          <w:rFonts w:asciiTheme="minorHAnsi" w:hAnsiTheme="minorHAnsi" w:cstheme="minorHAnsi"/>
          <w:sz w:val="22"/>
          <w:szCs w:val="22"/>
        </w:rPr>
        <w:t xml:space="preserve">timely </w:t>
      </w:r>
      <w:r w:rsidRPr="00183A3D">
        <w:rPr>
          <w:rFonts w:asciiTheme="minorHAnsi" w:hAnsiTheme="minorHAnsi" w:cstheme="minorHAnsi"/>
          <w:sz w:val="22"/>
          <w:szCs w:val="22"/>
        </w:rPr>
        <w:t>detection</w:t>
      </w:r>
      <w:r w:rsidR="0035599C">
        <w:rPr>
          <w:rFonts w:asciiTheme="minorHAnsi" w:hAnsiTheme="minorHAnsi" w:cstheme="minorHAnsi"/>
          <w:sz w:val="22"/>
          <w:szCs w:val="22"/>
        </w:rPr>
        <w:t xml:space="preserve"> and inclusion in treatment program</w:t>
      </w:r>
      <w:r w:rsidRPr="00183A3D">
        <w:rPr>
          <w:rFonts w:asciiTheme="minorHAnsi" w:hAnsiTheme="minorHAnsi" w:cstheme="minorHAnsi"/>
          <w:sz w:val="22"/>
          <w:szCs w:val="22"/>
        </w:rPr>
        <w:t xml:space="preserve"> remain a challenge.</w:t>
      </w:r>
      <w:r w:rsidR="002A798D">
        <w:rPr>
          <w:rFonts w:asciiTheme="minorHAnsi" w:hAnsiTheme="minorHAnsi" w:cstheme="minorHAnsi"/>
          <w:sz w:val="22"/>
          <w:szCs w:val="22"/>
        </w:rPr>
        <w:t xml:space="preserve"> It is strategically essential to increase the coverage by preventive services and scale up testing among representatives of key population and their sexual partners.</w:t>
      </w:r>
      <w:r w:rsidR="004870D7">
        <w:rPr>
          <w:rFonts w:asciiTheme="minorHAnsi" w:hAnsiTheme="minorHAnsi" w:cstheme="minorHAnsi"/>
          <w:sz w:val="22"/>
          <w:szCs w:val="22"/>
        </w:rPr>
        <w:t xml:space="preserve"> With decreasing financial support from TGF, it is vital that Government gradually takes financial responsibility to cover </w:t>
      </w:r>
      <w:r w:rsidR="00A62EDB">
        <w:rPr>
          <w:rFonts w:asciiTheme="minorHAnsi" w:hAnsiTheme="minorHAnsi" w:cstheme="minorHAnsi"/>
          <w:sz w:val="22"/>
          <w:szCs w:val="22"/>
        </w:rPr>
        <w:t xml:space="preserve">activities previously funded by TGF. This will also require close collaboration with non-governmental actors that </w:t>
      </w:r>
      <w:r w:rsidR="00F00784">
        <w:rPr>
          <w:rFonts w:asciiTheme="minorHAnsi" w:hAnsiTheme="minorHAnsi" w:cstheme="minorHAnsi"/>
          <w:sz w:val="22"/>
          <w:szCs w:val="22"/>
        </w:rPr>
        <w:t xml:space="preserve">have </w:t>
      </w:r>
      <w:r w:rsidR="00A62EDB">
        <w:rPr>
          <w:rFonts w:asciiTheme="minorHAnsi" w:hAnsiTheme="minorHAnsi" w:cstheme="minorHAnsi"/>
          <w:sz w:val="22"/>
          <w:szCs w:val="22"/>
        </w:rPr>
        <w:t xml:space="preserve">been implementing </w:t>
      </w:r>
      <w:r w:rsidR="00E73B34">
        <w:rPr>
          <w:rFonts w:asciiTheme="minorHAnsi" w:hAnsiTheme="minorHAnsi" w:cstheme="minorHAnsi"/>
          <w:sz w:val="22"/>
          <w:szCs w:val="22"/>
        </w:rPr>
        <w:t xml:space="preserve">activities for </w:t>
      </w:r>
      <w:r w:rsidR="00F00784">
        <w:rPr>
          <w:rFonts w:asciiTheme="minorHAnsi" w:hAnsiTheme="minorHAnsi" w:cstheme="minorHAnsi"/>
          <w:sz w:val="22"/>
          <w:szCs w:val="22"/>
        </w:rPr>
        <w:t xml:space="preserve">almost </w:t>
      </w:r>
      <w:r w:rsidR="004C731B">
        <w:rPr>
          <w:rFonts w:asciiTheme="minorHAnsi" w:hAnsiTheme="minorHAnsi" w:cstheme="minorHAnsi"/>
          <w:sz w:val="22"/>
          <w:szCs w:val="22"/>
        </w:rPr>
        <w:t xml:space="preserve">two decades. </w:t>
      </w:r>
    </w:p>
    <w:p w:rsidR="00193887" w:rsidRDefault="00193887" w:rsidP="00193887">
      <w:pPr>
        <w:jc w:val="both"/>
        <w:rPr>
          <w:rFonts w:asciiTheme="minorHAnsi" w:hAnsiTheme="minorHAnsi" w:cstheme="minorHAnsi"/>
          <w:sz w:val="22"/>
          <w:szCs w:val="22"/>
        </w:rPr>
      </w:pPr>
    </w:p>
    <w:p w:rsidR="00193887" w:rsidRPr="00A5458A" w:rsidRDefault="00F83AE0" w:rsidP="002643B1">
      <w:pPr>
        <w:rPr>
          <w:rFonts w:asciiTheme="minorHAnsi" w:hAnsiTheme="minorHAnsi" w:cstheme="minorHAnsi"/>
          <w:sz w:val="22"/>
          <w:szCs w:val="22"/>
        </w:rPr>
      </w:pPr>
      <w:r w:rsidRPr="00A5458A">
        <w:rPr>
          <w:rFonts w:asciiTheme="minorHAnsi" w:hAnsiTheme="minorHAnsi" w:cstheme="minorHAnsi"/>
          <w:sz w:val="22"/>
          <w:szCs w:val="22"/>
        </w:rPr>
        <w:t xml:space="preserve">From the beginning of HIV epidemic in Georgia in 1989 the majority of HIV </w:t>
      </w:r>
      <w:r>
        <w:rPr>
          <w:rFonts w:asciiTheme="minorHAnsi" w:hAnsiTheme="minorHAnsi" w:cstheme="minorHAnsi"/>
          <w:sz w:val="22"/>
          <w:szCs w:val="22"/>
        </w:rPr>
        <w:t>cases</w:t>
      </w:r>
      <w:r w:rsidRPr="00A5458A">
        <w:rPr>
          <w:rFonts w:asciiTheme="minorHAnsi" w:hAnsiTheme="minorHAnsi" w:cstheme="minorHAnsi"/>
          <w:sz w:val="22"/>
          <w:szCs w:val="22"/>
        </w:rPr>
        <w:t xml:space="preserve"> w</w:t>
      </w:r>
      <w:r>
        <w:rPr>
          <w:rFonts w:asciiTheme="minorHAnsi" w:hAnsiTheme="minorHAnsi" w:cstheme="minorHAnsi"/>
          <w:sz w:val="22"/>
          <w:szCs w:val="22"/>
        </w:rPr>
        <w:t>ere</w:t>
      </w:r>
      <w:r w:rsidRPr="00A5458A">
        <w:rPr>
          <w:rFonts w:asciiTheme="minorHAnsi" w:hAnsiTheme="minorHAnsi" w:cstheme="minorHAnsi"/>
          <w:sz w:val="22"/>
          <w:szCs w:val="22"/>
        </w:rPr>
        <w:t xml:space="preserve"> attributed to injecting use of drugs, but from 2011 sexual route of transmission slowly became dominant.</w:t>
      </w:r>
      <w:r>
        <w:rPr>
          <w:rStyle w:val="FootnoteReference"/>
          <w:rFonts w:asciiTheme="minorHAnsi" w:hAnsiTheme="minorHAnsi" w:cstheme="minorHAnsi"/>
          <w:sz w:val="22"/>
          <w:szCs w:val="22"/>
        </w:rPr>
        <w:footnoteReference w:id="27"/>
      </w:r>
      <w:r w:rsidRPr="00A5458A">
        <w:rPr>
          <w:rFonts w:asciiTheme="minorHAnsi" w:hAnsiTheme="minorHAnsi" w:cstheme="minorHAnsi"/>
          <w:sz w:val="22"/>
          <w:szCs w:val="22"/>
        </w:rPr>
        <w:t xml:space="preserve">  </w:t>
      </w:r>
    </w:p>
    <w:p w:rsidR="00193887" w:rsidRDefault="00193887" w:rsidP="002643B1">
      <w:pPr>
        <w:pStyle w:val="Default"/>
        <w:rPr>
          <w:rFonts w:asciiTheme="minorHAnsi" w:hAnsiTheme="minorHAnsi" w:cstheme="minorHAnsi"/>
          <w:sz w:val="22"/>
          <w:szCs w:val="22"/>
        </w:rPr>
      </w:pPr>
    </w:p>
    <w:p w:rsidR="00193887" w:rsidRDefault="00F83AE0" w:rsidP="002643B1">
      <w:pPr>
        <w:pStyle w:val="Default"/>
        <w:rPr>
          <w:rFonts w:asciiTheme="minorHAnsi" w:hAnsiTheme="minorHAnsi" w:cstheme="minorHAnsi"/>
          <w:sz w:val="22"/>
          <w:szCs w:val="22"/>
        </w:rPr>
      </w:pPr>
      <w:r>
        <w:rPr>
          <w:rFonts w:asciiTheme="minorHAnsi" w:hAnsiTheme="minorHAnsi" w:cstheme="minorHAnsi"/>
          <w:sz w:val="22"/>
          <w:szCs w:val="22"/>
        </w:rPr>
        <w:t xml:space="preserve">Despite efforts, coverage with preventive services and testing uptake remains to be a serious challenge for HIV/AIDS National response in Georgia. According to latest epidemiological data, MSM and PWID remain to be the most vulnerable groups with the highest prevalence of HIV. </w:t>
      </w:r>
      <w:r w:rsidRPr="003965D8">
        <w:rPr>
          <w:rFonts w:asciiTheme="minorHAnsi" w:hAnsiTheme="minorHAnsi" w:cstheme="minorHAnsi"/>
          <w:sz w:val="22"/>
          <w:szCs w:val="22"/>
          <w:lang w:val="en-GB"/>
        </w:rPr>
        <w:t>Considering the situation with the late diagnosis in Georgia, as well as high HIV prevalence among MSM, testing uptake among this population shall increase dramatically to improve identification of cases.</w:t>
      </w:r>
    </w:p>
    <w:p w:rsidR="00193887" w:rsidRDefault="00193887" w:rsidP="002643B1">
      <w:pPr>
        <w:rPr>
          <w:rFonts w:asciiTheme="minorHAnsi" w:hAnsiTheme="minorHAnsi" w:cstheme="minorHAnsi"/>
          <w:sz w:val="22"/>
          <w:szCs w:val="22"/>
        </w:rPr>
      </w:pPr>
    </w:p>
    <w:p w:rsidR="00193887" w:rsidRPr="00183A3D" w:rsidRDefault="00F83AE0" w:rsidP="002643B1">
      <w:pPr>
        <w:rPr>
          <w:rFonts w:asciiTheme="minorHAnsi" w:hAnsiTheme="minorHAnsi" w:cstheme="minorHAnsi"/>
          <w:sz w:val="22"/>
          <w:szCs w:val="22"/>
        </w:rPr>
      </w:pPr>
      <w:r w:rsidRPr="00183A3D">
        <w:rPr>
          <w:rFonts w:asciiTheme="minorHAnsi" w:hAnsiTheme="minorHAnsi" w:cstheme="minorHAnsi"/>
          <w:sz w:val="22"/>
          <w:szCs w:val="22"/>
        </w:rPr>
        <w:t>HIV prevention among people who inject drugs (PWIDs) is one of the priority objectives of the National HIV Strategy which declares the importance of highly cost-effective evidence-based Harm Reduction (HR) interventions, namely Needle and Syringe Program (NSP)</w:t>
      </w:r>
      <w:r>
        <w:rPr>
          <w:rStyle w:val="FootnoteReference"/>
          <w:rFonts w:asciiTheme="minorHAnsi" w:hAnsiTheme="minorHAnsi" w:cstheme="minorHAnsi"/>
          <w:sz w:val="22"/>
          <w:szCs w:val="22"/>
        </w:rPr>
        <w:footnoteReference w:id="28"/>
      </w:r>
      <w:r w:rsidRPr="00183A3D">
        <w:rPr>
          <w:rFonts w:asciiTheme="minorHAnsi" w:hAnsiTheme="minorHAnsi" w:cstheme="minorHAnsi"/>
          <w:sz w:val="22"/>
          <w:szCs w:val="22"/>
        </w:rPr>
        <w:t xml:space="preserve"> also, Opioid Substitution Treatment (OST) Program, to control HIV epidemic in Georgia. Implementation of harm reduction interventions started in 2005, and since then, despite the strict anti-drug policy, the harm reduction services have been expanded</w:t>
      </w:r>
      <w:r w:rsidR="00174577">
        <w:rPr>
          <w:rFonts w:asciiTheme="minorHAnsi" w:hAnsiTheme="minorHAnsi" w:cstheme="minorHAnsi"/>
          <w:sz w:val="22"/>
          <w:szCs w:val="22"/>
        </w:rPr>
        <w:t xml:space="preserve"> considerably</w:t>
      </w:r>
      <w:r w:rsidRPr="00183A3D">
        <w:rPr>
          <w:rFonts w:asciiTheme="minorHAnsi" w:hAnsiTheme="minorHAnsi" w:cstheme="minorHAnsi"/>
          <w:sz w:val="22"/>
          <w:szCs w:val="22"/>
        </w:rPr>
        <w:t xml:space="preserve"> regarding the scope and scale. </w:t>
      </w:r>
      <w:r w:rsidR="00164BD4">
        <w:rPr>
          <w:rFonts w:asciiTheme="minorHAnsi" w:hAnsiTheme="minorHAnsi" w:cstheme="minorHAnsi"/>
          <w:sz w:val="22"/>
          <w:szCs w:val="22"/>
        </w:rPr>
        <w:t xml:space="preserve">Since 2016 the </w:t>
      </w:r>
      <w:r w:rsidRPr="00183A3D">
        <w:rPr>
          <w:rFonts w:asciiTheme="minorHAnsi" w:hAnsiTheme="minorHAnsi" w:cstheme="minorHAnsi"/>
          <w:sz w:val="22"/>
          <w:szCs w:val="22"/>
        </w:rPr>
        <w:t xml:space="preserve">Government entirely </w:t>
      </w:r>
      <w:r w:rsidR="00164BD4">
        <w:rPr>
          <w:rFonts w:asciiTheme="minorHAnsi" w:hAnsiTheme="minorHAnsi" w:cstheme="minorHAnsi"/>
          <w:sz w:val="22"/>
          <w:szCs w:val="22"/>
        </w:rPr>
        <w:t xml:space="preserve">has taken </w:t>
      </w:r>
      <w:r w:rsidRPr="00183A3D">
        <w:rPr>
          <w:rFonts w:asciiTheme="minorHAnsi" w:hAnsiTheme="minorHAnsi" w:cstheme="minorHAnsi"/>
          <w:sz w:val="22"/>
          <w:szCs w:val="22"/>
        </w:rPr>
        <w:t xml:space="preserve">over the funding for OST program and co-financing requirements </w:t>
      </w:r>
      <w:r>
        <w:rPr>
          <w:rFonts w:asciiTheme="minorHAnsi" w:hAnsiTheme="minorHAnsi" w:cstheme="minorHAnsi"/>
          <w:sz w:val="22"/>
          <w:szCs w:val="22"/>
        </w:rPr>
        <w:t xml:space="preserve">for beneficiaries of state program </w:t>
      </w:r>
      <w:r w:rsidRPr="00183A3D">
        <w:rPr>
          <w:rFonts w:asciiTheme="minorHAnsi" w:hAnsiTheme="minorHAnsi" w:cstheme="minorHAnsi"/>
          <w:sz w:val="22"/>
          <w:szCs w:val="22"/>
        </w:rPr>
        <w:t xml:space="preserve">were removed. </w:t>
      </w:r>
      <w:r>
        <w:rPr>
          <w:rFonts w:asciiTheme="minorHAnsi" w:hAnsiTheme="minorHAnsi" w:cstheme="minorHAnsi"/>
          <w:sz w:val="22"/>
          <w:szCs w:val="22"/>
        </w:rPr>
        <w:t xml:space="preserve">This </w:t>
      </w:r>
      <w:r w:rsidR="00164BD4">
        <w:rPr>
          <w:rFonts w:asciiTheme="minorHAnsi" w:hAnsiTheme="minorHAnsi" w:cstheme="minorHAnsi"/>
          <w:sz w:val="22"/>
          <w:szCs w:val="22"/>
        </w:rPr>
        <w:t xml:space="preserve">has </w:t>
      </w:r>
      <w:r>
        <w:rPr>
          <w:rFonts w:asciiTheme="minorHAnsi" w:hAnsiTheme="minorHAnsi" w:cstheme="minorHAnsi"/>
          <w:sz w:val="22"/>
          <w:szCs w:val="22"/>
        </w:rPr>
        <w:t>allow</w:t>
      </w:r>
      <w:r w:rsidR="00164BD4">
        <w:rPr>
          <w:rFonts w:asciiTheme="minorHAnsi" w:hAnsiTheme="minorHAnsi" w:cstheme="minorHAnsi"/>
          <w:sz w:val="22"/>
          <w:szCs w:val="22"/>
        </w:rPr>
        <w:t>ed</w:t>
      </w:r>
      <w:r>
        <w:rPr>
          <w:rFonts w:asciiTheme="minorHAnsi" w:hAnsiTheme="minorHAnsi" w:cstheme="minorHAnsi"/>
          <w:sz w:val="22"/>
          <w:szCs w:val="22"/>
        </w:rPr>
        <w:t xml:space="preserve"> more beneficiaries to access the OST services.</w:t>
      </w:r>
    </w:p>
    <w:p w:rsidR="00193887" w:rsidRDefault="00193887" w:rsidP="002643B1">
      <w:pPr>
        <w:pStyle w:val="Default"/>
        <w:rPr>
          <w:rFonts w:asciiTheme="minorHAnsi" w:hAnsiTheme="minorHAnsi" w:cstheme="minorHAnsi"/>
          <w:sz w:val="22"/>
          <w:szCs w:val="22"/>
        </w:rPr>
      </w:pPr>
    </w:p>
    <w:p w:rsidR="00193887" w:rsidRDefault="00F83AE0" w:rsidP="002643B1">
      <w:pPr>
        <w:pStyle w:val="Default"/>
        <w:rPr>
          <w:rFonts w:asciiTheme="minorHAnsi" w:hAnsiTheme="minorHAnsi" w:cstheme="minorHAnsi"/>
          <w:sz w:val="22"/>
          <w:szCs w:val="22"/>
        </w:rPr>
      </w:pPr>
      <w:r>
        <w:rPr>
          <w:rFonts w:asciiTheme="minorHAnsi" w:hAnsiTheme="minorHAnsi" w:cstheme="minorHAnsi"/>
          <w:sz w:val="22"/>
          <w:szCs w:val="22"/>
        </w:rPr>
        <w:t>According</w:t>
      </w:r>
      <w:r w:rsidR="00174577">
        <w:rPr>
          <w:rFonts w:asciiTheme="minorHAnsi" w:hAnsiTheme="minorHAnsi" w:cstheme="minorHAnsi"/>
          <w:sz w:val="22"/>
          <w:szCs w:val="22"/>
        </w:rPr>
        <w:t xml:space="preserve"> to</w:t>
      </w:r>
      <w:r>
        <w:rPr>
          <w:rFonts w:asciiTheme="minorHAnsi" w:hAnsiTheme="minorHAnsi" w:cstheme="minorHAnsi"/>
          <w:sz w:val="22"/>
          <w:szCs w:val="22"/>
        </w:rPr>
        <w:t xml:space="preserve"> the programmatic data, coverage with preventive services among PWID has increased from 17% in 2012  to 57% in 2016. </w:t>
      </w:r>
      <w:r w:rsidR="00174577">
        <w:rPr>
          <w:rFonts w:asciiTheme="minorHAnsi" w:hAnsiTheme="minorHAnsi" w:cstheme="minorHAnsi"/>
          <w:sz w:val="22"/>
          <w:szCs w:val="22"/>
        </w:rPr>
        <w:t>However, program</w:t>
      </w:r>
      <w:r>
        <w:rPr>
          <w:rFonts w:asciiTheme="minorHAnsi" w:hAnsiTheme="minorHAnsi" w:cstheme="minorHAnsi"/>
          <w:sz w:val="22"/>
          <w:szCs w:val="22"/>
        </w:rPr>
        <w:t xml:space="preserve"> coverage </w:t>
      </w:r>
      <w:r w:rsidR="00174577">
        <w:rPr>
          <w:rFonts w:asciiTheme="minorHAnsi" w:hAnsiTheme="minorHAnsi" w:cstheme="minorHAnsi"/>
          <w:sz w:val="22"/>
          <w:szCs w:val="22"/>
        </w:rPr>
        <w:t xml:space="preserve">measured through </w:t>
      </w:r>
      <w:r>
        <w:rPr>
          <w:rFonts w:asciiTheme="minorHAnsi" w:hAnsiTheme="minorHAnsi" w:cstheme="minorHAnsi"/>
          <w:sz w:val="22"/>
          <w:szCs w:val="22"/>
        </w:rPr>
        <w:t xml:space="preserve">Bio BSS was considerably lower </w:t>
      </w:r>
      <w:r w:rsidR="00174577">
        <w:rPr>
          <w:rFonts w:asciiTheme="minorHAnsi" w:hAnsiTheme="minorHAnsi" w:cstheme="minorHAnsi"/>
          <w:sz w:val="22"/>
          <w:szCs w:val="22"/>
        </w:rPr>
        <w:t>-</w:t>
      </w:r>
      <w:r>
        <w:rPr>
          <w:rFonts w:asciiTheme="minorHAnsi" w:hAnsiTheme="minorHAnsi" w:cstheme="minorHAnsi"/>
          <w:sz w:val="22"/>
          <w:szCs w:val="22"/>
        </w:rPr>
        <w:t xml:space="preserve"> 23.3% in 2016. Such difference may be caused by the reporting system that allowed duplication of beneficiaries in the system. The reporting system has changed in 2017, and now clients can only be registered once in the system, using the unique identifier. It is expected that two sources of information will become closer after the change mentioned above and it will be easier to assess the situation in this group.  </w:t>
      </w:r>
    </w:p>
    <w:p w:rsidR="00193887" w:rsidRDefault="00193887" w:rsidP="002643B1">
      <w:pPr>
        <w:pStyle w:val="Default"/>
        <w:rPr>
          <w:rFonts w:asciiTheme="minorHAnsi" w:hAnsiTheme="minorHAnsi" w:cstheme="minorHAnsi"/>
          <w:sz w:val="22"/>
          <w:szCs w:val="22"/>
        </w:rPr>
      </w:pPr>
    </w:p>
    <w:p w:rsidR="00193887" w:rsidRDefault="00F83AE0" w:rsidP="00193887">
      <w:pPr>
        <w:pStyle w:val="Default"/>
        <w:rPr>
          <w:rFonts w:asciiTheme="minorHAnsi" w:hAnsiTheme="minorHAnsi" w:cstheme="minorHAnsi"/>
          <w:sz w:val="22"/>
          <w:szCs w:val="22"/>
        </w:rPr>
      </w:pPr>
      <w:r>
        <w:rPr>
          <w:rFonts w:asciiTheme="minorHAnsi" w:hAnsiTheme="minorHAnsi" w:cstheme="minorHAnsi"/>
          <w:sz w:val="22"/>
          <w:szCs w:val="22"/>
        </w:rPr>
        <w:t xml:space="preserve">NGOs </w:t>
      </w:r>
      <w:r w:rsidR="00CB38A8">
        <w:rPr>
          <w:rFonts w:asciiTheme="minorHAnsi" w:hAnsiTheme="minorHAnsi" w:cstheme="minorHAnsi"/>
          <w:sz w:val="22"/>
          <w:szCs w:val="22"/>
        </w:rPr>
        <w:t xml:space="preserve">including </w:t>
      </w:r>
      <w:r>
        <w:rPr>
          <w:rFonts w:asciiTheme="minorHAnsi" w:hAnsiTheme="minorHAnsi" w:cstheme="minorHAnsi"/>
          <w:sz w:val="22"/>
          <w:szCs w:val="22"/>
        </w:rPr>
        <w:t>C</w:t>
      </w:r>
      <w:r w:rsidR="00CB38A8">
        <w:rPr>
          <w:rFonts w:asciiTheme="minorHAnsi" w:hAnsiTheme="minorHAnsi" w:cstheme="minorHAnsi"/>
          <w:sz w:val="22"/>
          <w:szCs w:val="22"/>
        </w:rPr>
        <w:t>B</w:t>
      </w:r>
      <w:r>
        <w:rPr>
          <w:rFonts w:asciiTheme="minorHAnsi" w:hAnsiTheme="minorHAnsi" w:cstheme="minorHAnsi"/>
          <w:sz w:val="22"/>
          <w:szCs w:val="22"/>
        </w:rPr>
        <w:t>O’s are providing preventive services since the first TGF grant</w:t>
      </w:r>
      <w:r w:rsidR="00174577">
        <w:rPr>
          <w:rFonts w:asciiTheme="minorHAnsi" w:hAnsiTheme="minorHAnsi" w:cstheme="minorHAnsi"/>
          <w:sz w:val="22"/>
          <w:szCs w:val="22"/>
        </w:rPr>
        <w:t xml:space="preserve"> was launched</w:t>
      </w:r>
      <w:r>
        <w:rPr>
          <w:rFonts w:asciiTheme="minorHAnsi" w:hAnsiTheme="minorHAnsi" w:cstheme="minorHAnsi"/>
          <w:sz w:val="22"/>
          <w:szCs w:val="22"/>
        </w:rPr>
        <w:t xml:space="preserve"> in 2002</w:t>
      </w:r>
      <w:r w:rsidR="00174577">
        <w:rPr>
          <w:rFonts w:asciiTheme="minorHAnsi" w:hAnsiTheme="minorHAnsi" w:cstheme="minorHAnsi"/>
          <w:sz w:val="22"/>
          <w:szCs w:val="22"/>
        </w:rPr>
        <w:t xml:space="preserve"> in Georgia</w:t>
      </w:r>
      <w:r>
        <w:rPr>
          <w:rFonts w:asciiTheme="minorHAnsi" w:hAnsiTheme="minorHAnsi" w:cstheme="minorHAnsi"/>
          <w:sz w:val="22"/>
          <w:szCs w:val="22"/>
        </w:rPr>
        <w:t xml:space="preserve">. </w:t>
      </w:r>
      <w:r w:rsidR="002344B9">
        <w:rPr>
          <w:rFonts w:asciiTheme="minorHAnsi" w:hAnsiTheme="minorHAnsi" w:cstheme="minorHAnsi"/>
          <w:sz w:val="22"/>
          <w:szCs w:val="22"/>
        </w:rPr>
        <w:t xml:space="preserve">One of the latest </w:t>
      </w:r>
      <w:r>
        <w:rPr>
          <w:rFonts w:asciiTheme="minorHAnsi" w:hAnsiTheme="minorHAnsi" w:cstheme="minorHAnsi"/>
          <w:sz w:val="22"/>
          <w:szCs w:val="22"/>
        </w:rPr>
        <w:t>achievement</w:t>
      </w:r>
      <w:r w:rsidR="002344B9">
        <w:rPr>
          <w:rFonts w:asciiTheme="minorHAnsi" w:hAnsiTheme="minorHAnsi" w:cstheme="minorHAnsi"/>
          <w:sz w:val="22"/>
          <w:szCs w:val="22"/>
        </w:rPr>
        <w:t>s</w:t>
      </w:r>
      <w:r>
        <w:rPr>
          <w:rFonts w:asciiTheme="minorHAnsi" w:hAnsiTheme="minorHAnsi" w:cstheme="minorHAnsi"/>
          <w:sz w:val="22"/>
          <w:szCs w:val="22"/>
        </w:rPr>
        <w:t xml:space="preserve"> in this term is the introduction of PrEP for MSM, </w:t>
      </w:r>
      <w:r w:rsidR="00B02B3B">
        <w:rPr>
          <w:rFonts w:asciiTheme="minorHAnsi" w:hAnsiTheme="minorHAnsi" w:cstheme="minorHAnsi"/>
          <w:sz w:val="22"/>
          <w:szCs w:val="22"/>
        </w:rPr>
        <w:t>through engagement of community-based organization</w:t>
      </w:r>
      <w:r>
        <w:rPr>
          <w:rFonts w:asciiTheme="minorHAnsi" w:hAnsiTheme="minorHAnsi" w:cstheme="minorHAnsi"/>
          <w:sz w:val="22"/>
          <w:szCs w:val="22"/>
        </w:rPr>
        <w:t xml:space="preserve">. </w:t>
      </w:r>
      <w:r w:rsidR="00162E39">
        <w:rPr>
          <w:rFonts w:asciiTheme="minorHAnsi" w:hAnsiTheme="minorHAnsi" w:cstheme="minorHAnsi"/>
          <w:sz w:val="22"/>
          <w:szCs w:val="22"/>
        </w:rPr>
        <w:t xml:space="preserve">However, </w:t>
      </w:r>
      <w:r>
        <w:rPr>
          <w:rFonts w:asciiTheme="minorHAnsi" w:hAnsiTheme="minorHAnsi" w:cstheme="minorHAnsi"/>
          <w:sz w:val="22"/>
          <w:szCs w:val="22"/>
        </w:rPr>
        <w:t xml:space="preserve">uptake is still low and </w:t>
      </w:r>
      <w:r w:rsidR="00C334AE">
        <w:rPr>
          <w:rFonts w:asciiTheme="minorHAnsi" w:hAnsiTheme="minorHAnsi" w:cstheme="minorHAnsi"/>
          <w:sz w:val="22"/>
          <w:szCs w:val="22"/>
        </w:rPr>
        <w:t>substantial work will be needed to increase awareness of PrEP among MSM to generate demand for the service among at-risk groups</w:t>
      </w:r>
      <w:r w:rsidR="0006671A">
        <w:rPr>
          <w:rFonts w:asciiTheme="minorHAnsi" w:hAnsiTheme="minorHAnsi" w:cstheme="minorHAnsi"/>
          <w:sz w:val="22"/>
          <w:szCs w:val="22"/>
        </w:rPr>
        <w:t xml:space="preserve"> and increase enrollment in PrEP.</w:t>
      </w:r>
    </w:p>
    <w:p w:rsidR="000806D3" w:rsidRDefault="000806D3" w:rsidP="00F124C2">
      <w:pPr>
        <w:rPr>
          <w:rFonts w:asciiTheme="minorHAnsi" w:hAnsiTheme="minorHAnsi" w:cstheme="minorHAnsi"/>
          <w:sz w:val="22"/>
          <w:szCs w:val="22"/>
        </w:rPr>
      </w:pPr>
    </w:p>
    <w:p w:rsidR="008E26E3" w:rsidRDefault="00F83AE0" w:rsidP="00F124C2">
      <w:pPr>
        <w:rPr>
          <w:rFonts w:asciiTheme="minorHAnsi" w:eastAsia="Calibri" w:hAnsiTheme="minorHAnsi"/>
          <w:sz w:val="22"/>
          <w:szCs w:val="22"/>
        </w:rPr>
      </w:pPr>
      <w:r>
        <w:rPr>
          <w:rFonts w:asciiTheme="minorHAnsi" w:hAnsiTheme="minorHAnsi" w:cstheme="minorHAnsi"/>
          <w:sz w:val="22"/>
          <w:szCs w:val="22"/>
        </w:rPr>
        <w:t xml:space="preserve">Transition Plan developed and approved by Country Coordination Mechanism in 2016, calls for </w:t>
      </w:r>
      <w:r w:rsidR="00F124C2" w:rsidRPr="00F124C2">
        <w:rPr>
          <w:rFonts w:asciiTheme="minorHAnsi" w:eastAsia="Calibri" w:hAnsiTheme="minorHAnsi"/>
          <w:sz w:val="22"/>
          <w:szCs w:val="22"/>
        </w:rPr>
        <w:t xml:space="preserve">scaled-up </w:t>
      </w:r>
      <w:r w:rsidR="00F124C2" w:rsidRPr="00F124C2">
        <w:rPr>
          <w:rFonts w:asciiTheme="minorHAnsi" w:eastAsia="Calibri" w:hAnsiTheme="minorHAnsi" w:cs="Sylfaen"/>
          <w:sz w:val="22"/>
          <w:szCs w:val="22"/>
        </w:rPr>
        <w:t xml:space="preserve">smooth transitioning from </w:t>
      </w:r>
      <w:r w:rsidR="00F124C2" w:rsidRPr="00F124C2">
        <w:rPr>
          <w:rFonts w:asciiTheme="minorHAnsi" w:eastAsia="Calibri" w:hAnsiTheme="minorHAnsi"/>
          <w:sz w:val="22"/>
          <w:szCs w:val="22"/>
        </w:rPr>
        <w:t xml:space="preserve">the Global Fund financing to full </w:t>
      </w:r>
      <w:r w:rsidR="00B02B3B">
        <w:rPr>
          <w:rFonts w:asciiTheme="minorHAnsi" w:eastAsia="Calibri" w:hAnsiTheme="minorHAnsi"/>
          <w:sz w:val="22"/>
          <w:szCs w:val="22"/>
        </w:rPr>
        <w:t>domestic</w:t>
      </w:r>
      <w:r w:rsidR="00B02B3B" w:rsidRPr="00F124C2">
        <w:rPr>
          <w:rFonts w:asciiTheme="minorHAnsi" w:eastAsia="Calibri" w:hAnsiTheme="minorHAnsi"/>
          <w:sz w:val="22"/>
          <w:szCs w:val="22"/>
        </w:rPr>
        <w:t xml:space="preserve"> </w:t>
      </w:r>
      <w:r w:rsidR="00F124C2" w:rsidRPr="00F124C2">
        <w:rPr>
          <w:rFonts w:asciiTheme="minorHAnsi" w:eastAsia="Calibri" w:hAnsiTheme="minorHAnsi"/>
          <w:sz w:val="22"/>
          <w:szCs w:val="22"/>
        </w:rPr>
        <w:t>financing of</w:t>
      </w:r>
      <w:r w:rsidR="00F124C2" w:rsidRPr="00F124C2">
        <w:rPr>
          <w:rFonts w:asciiTheme="minorHAnsi" w:eastAsia="Calibri" w:hAnsiTheme="minorHAnsi" w:cs="Sylfaen"/>
          <w:sz w:val="22"/>
          <w:szCs w:val="22"/>
        </w:rPr>
        <w:t xml:space="preserve"> the </w:t>
      </w:r>
      <w:r w:rsidR="00F124C2" w:rsidRPr="00F124C2">
        <w:rPr>
          <w:rFonts w:asciiTheme="minorHAnsi" w:eastAsia="Calibri" w:hAnsiTheme="minorHAnsi"/>
          <w:sz w:val="22"/>
          <w:szCs w:val="22"/>
        </w:rPr>
        <w:t>National HIV/AIDS and TB Programs by 2022</w:t>
      </w:r>
      <w:r w:rsidR="00F124C2">
        <w:rPr>
          <w:rFonts w:asciiTheme="minorHAnsi" w:eastAsia="Calibri" w:hAnsiTheme="minorHAnsi"/>
          <w:sz w:val="22"/>
          <w:szCs w:val="22"/>
        </w:rPr>
        <w:t>. This timing coincides with the time frame of new National Strategic Plan, which allows the integration of those two documents.</w:t>
      </w:r>
    </w:p>
    <w:p w:rsidR="000676D1" w:rsidRDefault="000676D1" w:rsidP="00F124C2">
      <w:pPr>
        <w:rPr>
          <w:rFonts w:asciiTheme="minorHAnsi" w:eastAsia="Calibri" w:hAnsiTheme="minorHAnsi"/>
          <w:sz w:val="22"/>
          <w:szCs w:val="22"/>
        </w:rPr>
      </w:pPr>
    </w:p>
    <w:p w:rsidR="000676D1" w:rsidRDefault="00F83AE0" w:rsidP="00F124C2">
      <w:pPr>
        <w:rPr>
          <w:rFonts w:asciiTheme="minorHAnsi" w:eastAsia="Calibri" w:hAnsiTheme="minorHAnsi"/>
          <w:sz w:val="22"/>
          <w:szCs w:val="22"/>
        </w:rPr>
      </w:pPr>
      <w:r w:rsidRPr="004433E2">
        <w:rPr>
          <w:rFonts w:asciiTheme="minorHAnsi" w:eastAsia="Calibri" w:hAnsiTheme="minorHAnsi"/>
          <w:sz w:val="22"/>
          <w:szCs w:val="22"/>
        </w:rPr>
        <w:t xml:space="preserve">The </w:t>
      </w:r>
      <w:r w:rsidRPr="004433E2">
        <w:rPr>
          <w:rFonts w:asciiTheme="minorHAnsi" w:eastAsia="Calibri" w:hAnsiTheme="minorHAnsi"/>
          <w:b/>
          <w:sz w:val="22"/>
          <w:szCs w:val="22"/>
        </w:rPr>
        <w:t>overarching goal</w:t>
      </w:r>
      <w:r w:rsidRPr="004433E2">
        <w:rPr>
          <w:rFonts w:asciiTheme="minorHAnsi" w:eastAsia="Calibri" w:hAnsiTheme="minorHAnsi"/>
          <w:sz w:val="22"/>
          <w:szCs w:val="22"/>
        </w:rPr>
        <w:t xml:space="preserve"> of 2019-2022 National Strategic Plan is </w:t>
      </w:r>
      <w:r w:rsidR="00184B1C" w:rsidRPr="004433E2">
        <w:rPr>
          <w:rFonts w:asciiTheme="minorHAnsi" w:eastAsia="Calibri" w:hAnsiTheme="minorHAnsi"/>
          <w:sz w:val="22"/>
          <w:szCs w:val="22"/>
        </w:rPr>
        <w:t xml:space="preserve">to reverse the HIV epidemic in Georgia, through </w:t>
      </w:r>
      <w:r w:rsidR="00AB03FA" w:rsidRPr="004433E2">
        <w:rPr>
          <w:rFonts w:asciiTheme="minorHAnsi" w:eastAsia="Calibri" w:hAnsiTheme="minorHAnsi"/>
          <w:sz w:val="22"/>
          <w:szCs w:val="22"/>
        </w:rPr>
        <w:t xml:space="preserve">sustainable, </w:t>
      </w:r>
      <w:r w:rsidR="00184B1C" w:rsidRPr="004433E2">
        <w:rPr>
          <w:rFonts w:asciiTheme="minorHAnsi" w:eastAsia="Calibri" w:hAnsiTheme="minorHAnsi"/>
          <w:sz w:val="22"/>
          <w:szCs w:val="22"/>
        </w:rPr>
        <w:t>targeted interventions for key populations and their sexual partner</w:t>
      </w:r>
      <w:r w:rsidR="00AB03FA" w:rsidRPr="004433E2">
        <w:rPr>
          <w:rFonts w:asciiTheme="minorHAnsi" w:eastAsia="Calibri" w:hAnsiTheme="minorHAnsi"/>
          <w:sz w:val="22"/>
          <w:szCs w:val="22"/>
        </w:rPr>
        <w:t>s</w:t>
      </w:r>
      <w:r w:rsidR="00184B1C" w:rsidRPr="004433E2">
        <w:rPr>
          <w:rFonts w:asciiTheme="minorHAnsi" w:eastAsia="Calibri" w:hAnsiTheme="minorHAnsi"/>
          <w:sz w:val="22"/>
          <w:szCs w:val="22"/>
        </w:rPr>
        <w:t>, improve</w:t>
      </w:r>
      <w:r w:rsidR="00AB03FA" w:rsidRPr="004433E2">
        <w:rPr>
          <w:rFonts w:asciiTheme="minorHAnsi" w:eastAsia="Calibri" w:hAnsiTheme="minorHAnsi"/>
          <w:sz w:val="22"/>
          <w:szCs w:val="22"/>
        </w:rPr>
        <w:t xml:space="preserve">ment of </w:t>
      </w:r>
      <w:r w:rsidR="00184B1C" w:rsidRPr="004433E2">
        <w:rPr>
          <w:rFonts w:asciiTheme="minorHAnsi" w:eastAsia="Calibri" w:hAnsiTheme="minorHAnsi"/>
          <w:sz w:val="22"/>
          <w:szCs w:val="22"/>
        </w:rPr>
        <w:t>the quality of the services and outcomes of the treatment.</w:t>
      </w:r>
      <w:r w:rsidR="00FA562A" w:rsidRPr="004433E2">
        <w:rPr>
          <w:rFonts w:asciiTheme="minorHAnsi" w:eastAsia="Calibri" w:hAnsiTheme="minorHAnsi"/>
          <w:sz w:val="22"/>
          <w:szCs w:val="22"/>
        </w:rPr>
        <w:t xml:space="preserve"> </w:t>
      </w:r>
    </w:p>
    <w:p w:rsidR="005D10C0" w:rsidRDefault="005D10C0" w:rsidP="00F124C2">
      <w:pPr>
        <w:rPr>
          <w:rFonts w:asciiTheme="minorHAnsi" w:eastAsia="Calibri" w:hAnsiTheme="minorHAnsi"/>
          <w:sz w:val="22"/>
          <w:szCs w:val="22"/>
        </w:rPr>
      </w:pPr>
    </w:p>
    <w:p w:rsidR="005D10C0" w:rsidRDefault="00F83AE0" w:rsidP="00F124C2">
      <w:pPr>
        <w:rPr>
          <w:rFonts w:asciiTheme="minorHAnsi" w:hAnsiTheme="minorHAnsi" w:cstheme="minorHAnsi"/>
          <w:sz w:val="22"/>
          <w:szCs w:val="22"/>
        </w:rPr>
      </w:pPr>
      <w:r>
        <w:rPr>
          <w:rFonts w:asciiTheme="minorHAnsi" w:hAnsiTheme="minorHAnsi" w:cstheme="minorHAnsi"/>
          <w:sz w:val="22"/>
          <w:szCs w:val="22"/>
        </w:rPr>
        <w:t xml:space="preserve">To achieve this goal, NSP </w:t>
      </w:r>
      <w:r w:rsidR="00310377" w:rsidRPr="00310377">
        <w:rPr>
          <w:rFonts w:asciiTheme="minorHAnsi" w:hAnsiTheme="minorHAnsi" w:cstheme="minorHAnsi"/>
          <w:sz w:val="22"/>
          <w:szCs w:val="22"/>
        </w:rPr>
        <w:t>emphasizes</w:t>
      </w:r>
      <w:r w:rsidRPr="00310377">
        <w:rPr>
          <w:rFonts w:asciiTheme="minorHAnsi" w:hAnsiTheme="minorHAnsi" w:cstheme="minorHAnsi"/>
          <w:sz w:val="22"/>
          <w:szCs w:val="22"/>
        </w:rPr>
        <w:t xml:space="preserve"> </w:t>
      </w:r>
      <w:r w:rsidR="00310377">
        <w:rPr>
          <w:rFonts w:asciiTheme="minorHAnsi" w:hAnsiTheme="minorHAnsi" w:cstheme="minorHAnsi"/>
          <w:sz w:val="22"/>
          <w:szCs w:val="22"/>
        </w:rPr>
        <w:t xml:space="preserve">on following three strategic </w:t>
      </w:r>
      <w:r w:rsidR="0075350F">
        <w:rPr>
          <w:rFonts w:asciiTheme="minorHAnsi" w:hAnsiTheme="minorHAnsi" w:cstheme="minorHAnsi"/>
          <w:sz w:val="22"/>
          <w:szCs w:val="22"/>
        </w:rPr>
        <w:t>objectives:</w:t>
      </w:r>
    </w:p>
    <w:p w:rsidR="0075350F" w:rsidRDefault="0075350F" w:rsidP="00F124C2">
      <w:pPr>
        <w:rPr>
          <w:rFonts w:asciiTheme="minorHAnsi" w:hAnsiTheme="minorHAnsi" w:cstheme="minorHAnsi"/>
          <w:sz w:val="22"/>
          <w:szCs w:val="22"/>
        </w:rPr>
      </w:pPr>
    </w:p>
    <w:p w:rsidR="00852C28" w:rsidRPr="000806D3" w:rsidRDefault="00F83AE0" w:rsidP="00A3152C">
      <w:pPr>
        <w:pStyle w:val="ListParagraph"/>
        <w:numPr>
          <w:ilvl w:val="0"/>
          <w:numId w:val="6"/>
        </w:numPr>
        <w:rPr>
          <w:rFonts w:asciiTheme="minorHAnsi" w:hAnsiTheme="minorHAnsi" w:cstheme="minorHAnsi"/>
          <w:sz w:val="22"/>
          <w:szCs w:val="22"/>
        </w:rPr>
      </w:pPr>
      <w:r w:rsidRPr="000806D3">
        <w:rPr>
          <w:rFonts w:asciiTheme="minorHAnsi" w:hAnsiTheme="minorHAnsi" w:cstheme="minorHAnsi"/>
          <w:sz w:val="22"/>
          <w:szCs w:val="22"/>
        </w:rPr>
        <w:t xml:space="preserve">HIV Prevention and Detection: Scale-up </w:t>
      </w:r>
      <w:r w:rsidR="000806D3">
        <w:rPr>
          <w:rFonts w:asciiTheme="minorHAnsi" w:hAnsiTheme="minorHAnsi" w:cstheme="minorHAnsi"/>
          <w:sz w:val="22"/>
          <w:szCs w:val="22"/>
        </w:rPr>
        <w:t xml:space="preserve">of </w:t>
      </w:r>
      <w:r w:rsidRPr="000806D3">
        <w:rPr>
          <w:rFonts w:asciiTheme="minorHAnsi" w:hAnsiTheme="minorHAnsi" w:cstheme="minorHAnsi"/>
          <w:sz w:val="22"/>
          <w:szCs w:val="22"/>
        </w:rPr>
        <w:t>preventive services to ensure timely detection and progression to care;</w:t>
      </w:r>
    </w:p>
    <w:p w:rsidR="00D42E20" w:rsidRPr="000806D3" w:rsidRDefault="00F83AE0" w:rsidP="00A3152C">
      <w:pPr>
        <w:pStyle w:val="ListParagraph"/>
        <w:numPr>
          <w:ilvl w:val="0"/>
          <w:numId w:val="6"/>
        </w:numPr>
        <w:rPr>
          <w:rFonts w:asciiTheme="minorHAnsi" w:hAnsiTheme="minorHAnsi" w:cstheme="minorHAnsi"/>
          <w:sz w:val="22"/>
          <w:szCs w:val="22"/>
        </w:rPr>
      </w:pPr>
      <w:r w:rsidRPr="000806D3">
        <w:rPr>
          <w:rFonts w:asciiTheme="minorHAnsi" w:hAnsiTheme="minorHAnsi" w:cstheme="minorHAnsi"/>
          <w:sz w:val="22"/>
          <w:szCs w:val="22"/>
        </w:rPr>
        <w:t>HIV Treatment and Care: Improve HIV health outcomes through ensuring universal access to quality treatment, care, and support;</w:t>
      </w:r>
    </w:p>
    <w:p w:rsidR="00D42E20" w:rsidRPr="000806D3" w:rsidRDefault="00F83AE0" w:rsidP="00A3152C">
      <w:pPr>
        <w:pStyle w:val="ListParagraph"/>
        <w:numPr>
          <w:ilvl w:val="0"/>
          <w:numId w:val="6"/>
        </w:numPr>
        <w:rPr>
          <w:rFonts w:asciiTheme="minorHAnsi" w:hAnsiTheme="minorHAnsi" w:cstheme="minorHAnsi"/>
          <w:sz w:val="22"/>
          <w:szCs w:val="22"/>
        </w:rPr>
      </w:pPr>
      <w:r w:rsidRPr="000806D3">
        <w:rPr>
          <w:rFonts w:asciiTheme="minorHAnsi" w:hAnsiTheme="minorHAnsi" w:cstheme="minorHAnsi"/>
          <w:sz w:val="22"/>
          <w:szCs w:val="22"/>
        </w:rPr>
        <w:t xml:space="preserve">Governance and Policy development: </w:t>
      </w:r>
      <w:r w:rsidR="001E351A" w:rsidRPr="000806D3">
        <w:rPr>
          <w:rFonts w:asciiTheme="minorHAnsi" w:hAnsiTheme="minorHAnsi" w:cstheme="minorHAnsi"/>
          <w:sz w:val="22"/>
          <w:szCs w:val="22"/>
        </w:rPr>
        <w:t xml:space="preserve">Ensure sustainability of </w:t>
      </w:r>
      <w:r w:rsidRPr="000806D3">
        <w:rPr>
          <w:rFonts w:asciiTheme="minorHAnsi" w:hAnsiTheme="minorHAnsi" w:cstheme="minorHAnsi"/>
          <w:sz w:val="22"/>
          <w:szCs w:val="22"/>
        </w:rPr>
        <w:t xml:space="preserve">response to the epidemic through enhanced government commitment, enabling legislative and operational environment, and greater involvement of civil society. </w:t>
      </w:r>
    </w:p>
    <w:p w:rsidR="00992F57" w:rsidRDefault="00992F57" w:rsidP="00C828CB">
      <w:pPr>
        <w:rPr>
          <w:rFonts w:asciiTheme="minorHAnsi" w:hAnsiTheme="minorHAnsi" w:cstheme="minorHAnsi"/>
          <w:sz w:val="22"/>
          <w:szCs w:val="22"/>
        </w:rPr>
      </w:pPr>
    </w:p>
    <w:p w:rsidR="008E26E3" w:rsidRDefault="00F83AE0" w:rsidP="00C828CB">
      <w:pPr>
        <w:rPr>
          <w:rFonts w:asciiTheme="minorHAnsi" w:hAnsiTheme="minorHAnsi" w:cstheme="minorHAnsi"/>
          <w:sz w:val="22"/>
          <w:szCs w:val="22"/>
        </w:rPr>
      </w:pPr>
      <w:r>
        <w:rPr>
          <w:rFonts w:asciiTheme="minorHAnsi" w:hAnsiTheme="minorHAnsi" w:cstheme="minorHAnsi"/>
          <w:sz w:val="22"/>
          <w:szCs w:val="22"/>
        </w:rPr>
        <w:t>Those objectives are the same as in previous National Plan, as well as the majority of activities</w:t>
      </w:r>
      <w:r w:rsidR="00623726">
        <w:rPr>
          <w:rFonts w:asciiTheme="minorHAnsi" w:hAnsiTheme="minorHAnsi" w:cstheme="minorHAnsi"/>
          <w:sz w:val="22"/>
          <w:szCs w:val="22"/>
        </w:rPr>
        <w:t xml:space="preserve"> proposed, as the primary challenge remains the same, timely detection and progression to care. </w:t>
      </w:r>
      <w:r w:rsidR="00992F57">
        <w:rPr>
          <w:rFonts w:asciiTheme="minorHAnsi" w:hAnsiTheme="minorHAnsi" w:cstheme="minorHAnsi"/>
          <w:sz w:val="22"/>
          <w:szCs w:val="22"/>
        </w:rPr>
        <w:t xml:space="preserve">The new activities proposed mainly aim to expand the coverage of KP’s with preventive services and testing and make services more attractive.  </w:t>
      </w:r>
    </w:p>
    <w:p w:rsidR="00992F57" w:rsidRDefault="00F83AE0" w:rsidP="00C828CB">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simplePos x="0" y="0"/>
                <wp:positionH relativeFrom="column">
                  <wp:posOffset>7623</wp:posOffset>
                </wp:positionH>
                <wp:positionV relativeFrom="paragraph">
                  <wp:posOffset>93254</wp:posOffset>
                </wp:positionV>
                <wp:extent cx="5606272" cy="2542903"/>
                <wp:effectExtent l="0" t="0" r="7620" b="10160"/>
                <wp:wrapNone/>
                <wp:docPr id="29" name="Text Box 29"/>
                <wp:cNvGraphicFramePr/>
                <a:graphic xmlns:a="http://schemas.openxmlformats.org/drawingml/2006/main">
                  <a:graphicData uri="http://schemas.microsoft.com/office/word/2010/wordprocessingShape">
                    <wps:wsp>
                      <wps:cNvSpPr txBox="1"/>
                      <wps:spPr>
                        <a:xfrm>
                          <a:off x="0" y="0"/>
                          <a:ext cx="5606272" cy="2542903"/>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F83AE0" w:rsidRPr="007968A9" w:rsidRDefault="00F83AE0" w:rsidP="007968A9">
                            <w:pPr>
                              <w:jc w:val="center"/>
                              <w:rPr>
                                <w:rFonts w:ascii="Calibri" w:hAnsi="Calibri" w:cs="Calibri"/>
                                <w:b/>
                                <w:color w:val="2F5496" w:themeColor="accent1" w:themeShade="BF"/>
                                <w:sz w:val="21"/>
                                <w:szCs w:val="21"/>
                              </w:rPr>
                            </w:pPr>
                            <w:r w:rsidRPr="007968A9">
                              <w:rPr>
                                <w:rFonts w:ascii="Calibri" w:hAnsi="Calibri" w:cs="Calibri"/>
                                <w:b/>
                                <w:color w:val="2F5496" w:themeColor="accent1" w:themeShade="BF"/>
                                <w:sz w:val="21"/>
                                <w:szCs w:val="21"/>
                              </w:rPr>
                              <w:t>Expected significant impact and outcomes targets by the end of 2022:</w:t>
                            </w:r>
                          </w:p>
                          <w:p w:rsidR="00F83AE0" w:rsidRPr="007968A9" w:rsidRDefault="00F83AE0" w:rsidP="007968A9">
                            <w:pPr>
                              <w:rPr>
                                <w:rFonts w:ascii="Calibri" w:hAnsi="Calibri" w:cs="Calibri"/>
                                <w:color w:val="2F5496" w:themeColor="accent1" w:themeShade="BF"/>
                                <w:sz w:val="21"/>
                                <w:szCs w:val="21"/>
                              </w:rPr>
                            </w:pP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 xml:space="preserve">Increased funding for HIV response from state budget from 76% in 2018 to </w:t>
                            </w:r>
                            <w:r w:rsidRPr="007968A9">
                              <w:rPr>
                                <w:rFonts w:ascii="Calibri" w:hAnsi="Calibri" w:cs="Calibri"/>
                                <w:color w:val="2F5496" w:themeColor="accent1" w:themeShade="BF"/>
                                <w:sz w:val="21"/>
                                <w:szCs w:val="21"/>
                                <w:lang w:val="ka-GE"/>
                              </w:rPr>
                              <w:t>90</w:t>
                            </w:r>
                            <w:r w:rsidRPr="007968A9">
                              <w:rPr>
                                <w:rFonts w:ascii="Calibri" w:hAnsi="Calibri" w:cs="Calibri"/>
                                <w:color w:val="2F5496" w:themeColor="accent1" w:themeShade="BF"/>
                                <w:sz w:val="21"/>
                                <w:szCs w:val="21"/>
                              </w:rPr>
                              <w:t>% by the end of 2022.</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the general population is contained under 500 per 100,000 population</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MSM is contained under 25%</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SWs is contained under 2%</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PWIDs is contained under 3%</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The rate of late HIV detection (&lt;350 cells/mm</w:t>
                            </w:r>
                            <w:r w:rsidRPr="007968A9">
                              <w:rPr>
                                <w:rFonts w:ascii="Calibri" w:hAnsi="Calibri" w:cs="Calibri"/>
                                <w:color w:val="2F5496" w:themeColor="accent1" w:themeShade="BF"/>
                                <w:sz w:val="21"/>
                                <w:szCs w:val="21"/>
                                <w:vertAlign w:val="superscript"/>
                              </w:rPr>
                              <w:t>3</w:t>
                            </w:r>
                            <w:r w:rsidRPr="007968A9">
                              <w:rPr>
                                <w:rFonts w:ascii="Calibri" w:hAnsi="Calibri" w:cs="Calibri"/>
                                <w:color w:val="2F5496" w:themeColor="accent1" w:themeShade="BF"/>
                                <w:sz w:val="21"/>
                                <w:szCs w:val="21"/>
                              </w:rPr>
                              <w:t xml:space="preserve">) is reduced from 51% in 2017 to 30% by 2022 </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AIDS-related mortality is contained below 2 deaths per 100,000 population</w:t>
                            </w:r>
                          </w:p>
                          <w:p w:rsidR="00F83AE0" w:rsidRPr="007968A9" w:rsidRDefault="00F83AE0">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Text Box 29" o:spid="_x0000_s1027" style="position:absolute;margin-left:.6pt;margin-top:7.35pt;width:441.45pt;height:20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" fillcolor="white [3201]" strokecolor="#5b9bd5 [3208]" strokeweight="1pt">
                <v:stroke joinstyle="miter"/>
                <v:textbox>
                  <w:txbxContent>
                    <w:p w:rsidR="00F83AE0" w:rsidRPr="007968A9" w:rsidRDefault="00F83AE0" w:rsidP="007968A9">
                      <w:pPr>
                        <w:jc w:val="center"/>
                        <w:rPr>
                          <w:rFonts w:ascii="Calibri" w:hAnsi="Calibri" w:cs="Calibri"/>
                          <w:b/>
                          <w:color w:val="2F5496" w:themeColor="accent1" w:themeShade="BF"/>
                          <w:sz w:val="21"/>
                          <w:szCs w:val="21"/>
                        </w:rPr>
                      </w:pPr>
                      <w:r w:rsidRPr="007968A9">
                        <w:rPr>
                          <w:rFonts w:ascii="Calibri" w:hAnsi="Calibri" w:cs="Calibri"/>
                          <w:b/>
                          <w:color w:val="2F5496" w:themeColor="accent1" w:themeShade="BF"/>
                          <w:sz w:val="21"/>
                          <w:szCs w:val="21"/>
                        </w:rPr>
                        <w:t>Expected significant impact and outcomes targets by the end of 2022:</w:t>
                      </w:r>
                    </w:p>
                    <w:p w:rsidR="00F83AE0" w:rsidRPr="007968A9" w:rsidRDefault="00F83AE0" w:rsidP="007968A9">
                      <w:pPr>
                        <w:rPr>
                          <w:rFonts w:ascii="Calibri" w:hAnsi="Calibri" w:cs="Calibri"/>
                          <w:color w:val="2F5496" w:themeColor="accent1" w:themeShade="BF"/>
                          <w:sz w:val="21"/>
                          <w:szCs w:val="21"/>
                        </w:rPr>
                      </w:pP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 xml:space="preserve">Increased funding for HIV response from state budget from 76% in 2018 to </w:t>
                      </w:r>
                      <w:r w:rsidRPr="007968A9">
                        <w:rPr>
                          <w:rFonts w:ascii="Calibri" w:hAnsi="Calibri" w:cs="Calibri"/>
                          <w:color w:val="2F5496" w:themeColor="accent1" w:themeShade="BF"/>
                          <w:sz w:val="21"/>
                          <w:szCs w:val="21"/>
                          <w:lang w:val="ka-GE"/>
                        </w:rPr>
                        <w:t>90</w:t>
                      </w:r>
                      <w:r w:rsidRPr="007968A9">
                        <w:rPr>
                          <w:rFonts w:ascii="Calibri" w:hAnsi="Calibri" w:cs="Calibri"/>
                          <w:color w:val="2F5496" w:themeColor="accent1" w:themeShade="BF"/>
                          <w:sz w:val="21"/>
                          <w:szCs w:val="21"/>
                        </w:rPr>
                        <w:t>% by the end of 2022.</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the general population is contained under 500 per 100,000 population</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MSM is contained under 25%</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SWs is contained under 2%</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HIV prevalence among PWIDs is contained under 3%</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The rate of late HIV detection (&lt;350 cells/mm</w:t>
                      </w:r>
                      <w:r w:rsidRPr="007968A9">
                        <w:rPr>
                          <w:rFonts w:ascii="Calibri" w:hAnsi="Calibri" w:cs="Calibri"/>
                          <w:color w:val="2F5496" w:themeColor="accent1" w:themeShade="BF"/>
                          <w:sz w:val="21"/>
                          <w:szCs w:val="21"/>
                          <w:vertAlign w:val="superscript"/>
                        </w:rPr>
                        <w:t>3</w:t>
                      </w:r>
                      <w:r w:rsidRPr="007968A9">
                        <w:rPr>
                          <w:rFonts w:ascii="Calibri" w:hAnsi="Calibri" w:cs="Calibri"/>
                          <w:color w:val="2F5496" w:themeColor="accent1" w:themeShade="BF"/>
                          <w:sz w:val="21"/>
                          <w:szCs w:val="21"/>
                        </w:rPr>
                        <w:t xml:space="preserve">) is reduced from 51% in 2017 to 30% by 2022 </w:t>
                      </w:r>
                    </w:p>
                    <w:p w:rsidR="00F83AE0" w:rsidRPr="007968A9" w:rsidRDefault="00F83AE0" w:rsidP="007968A9">
                      <w:pPr>
                        <w:pStyle w:val="ListParagraph"/>
                        <w:numPr>
                          <w:ilvl w:val="0"/>
                          <w:numId w:val="29"/>
                        </w:numPr>
                        <w:spacing w:line="276" w:lineRule="auto"/>
                        <w:jc w:val="both"/>
                        <w:rPr>
                          <w:rFonts w:ascii="Calibri" w:hAnsi="Calibri" w:cs="Calibri"/>
                          <w:color w:val="2F5496" w:themeColor="accent1" w:themeShade="BF"/>
                          <w:sz w:val="21"/>
                          <w:szCs w:val="21"/>
                        </w:rPr>
                      </w:pPr>
                      <w:r w:rsidRPr="007968A9">
                        <w:rPr>
                          <w:rFonts w:ascii="Calibri" w:hAnsi="Calibri" w:cs="Calibri"/>
                          <w:color w:val="2F5496" w:themeColor="accent1" w:themeShade="BF"/>
                          <w:sz w:val="21"/>
                          <w:szCs w:val="21"/>
                        </w:rPr>
                        <w:t>By the end of 2022 AIDS-related mortality is contained below 2 deaths per 100,000 population</w:t>
                      </w:r>
                    </w:p>
                    <w:p w:rsidR="00F83AE0" w:rsidRPr="007968A9" w:rsidRDefault="00F83AE0">
                      <w:pPr>
                        <w:rPr>
                          <w:color w:val="2F5496" w:themeColor="accent1" w:themeShade="BF"/>
                        </w:rPr>
                      </w:pPr>
                    </w:p>
                  </w:txbxContent>
                </v:textbox>
              </v:roundrect>
            </w:pict>
          </mc:Fallback>
        </mc:AlternateContent>
      </w:r>
    </w:p>
    <w:p w:rsidR="004B2118" w:rsidRDefault="004B2118" w:rsidP="00C828CB">
      <w:pPr>
        <w:rPr>
          <w:rFonts w:asciiTheme="minorHAnsi" w:hAnsiTheme="minorHAnsi" w:cstheme="minorHAnsi"/>
          <w:sz w:val="22"/>
          <w:szCs w:val="22"/>
        </w:rPr>
      </w:pPr>
    </w:p>
    <w:p w:rsidR="007968A9" w:rsidRDefault="007968A9" w:rsidP="00C828CB">
      <w:pPr>
        <w:rPr>
          <w:rFonts w:asciiTheme="minorHAnsi" w:hAnsiTheme="minorHAnsi" w:cstheme="minorHAnsi"/>
          <w:sz w:val="22"/>
          <w:szCs w:val="22"/>
        </w:rPr>
      </w:pPr>
    </w:p>
    <w:p w:rsidR="007968A9" w:rsidRDefault="007968A9" w:rsidP="00C828CB">
      <w:pPr>
        <w:rPr>
          <w:rFonts w:asciiTheme="minorHAnsi" w:hAnsiTheme="minorHAnsi" w:cstheme="minorHAnsi"/>
          <w:sz w:val="22"/>
          <w:szCs w:val="22"/>
        </w:rPr>
      </w:pPr>
    </w:p>
    <w:p w:rsidR="007968A9" w:rsidRDefault="007968A9" w:rsidP="00C828CB">
      <w:pPr>
        <w:rPr>
          <w:rFonts w:asciiTheme="minorHAnsi" w:hAnsiTheme="minorHAnsi" w:cstheme="minorHAnsi"/>
          <w:sz w:val="22"/>
          <w:szCs w:val="22"/>
        </w:rPr>
      </w:pPr>
    </w:p>
    <w:p w:rsidR="007968A9" w:rsidRDefault="007968A9" w:rsidP="00C828CB">
      <w:pPr>
        <w:rPr>
          <w:rFonts w:asciiTheme="minorHAnsi" w:hAnsiTheme="minorHAnsi" w:cstheme="minorHAnsi"/>
          <w:sz w:val="22"/>
          <w:szCs w:val="22"/>
        </w:rPr>
      </w:pPr>
    </w:p>
    <w:p w:rsidR="007968A9" w:rsidRDefault="007968A9" w:rsidP="00C828CB">
      <w:pPr>
        <w:rPr>
          <w:rFonts w:asciiTheme="minorHAnsi" w:hAnsiTheme="minorHAnsi" w:cstheme="minorHAnsi"/>
          <w:sz w:val="22"/>
          <w:szCs w:val="22"/>
        </w:rPr>
      </w:pPr>
    </w:p>
    <w:p w:rsidR="007968A9" w:rsidRDefault="007968A9" w:rsidP="00C828CB">
      <w:pPr>
        <w:rPr>
          <w:rFonts w:asciiTheme="minorHAnsi" w:hAnsiTheme="minorHAnsi" w:cstheme="minorHAnsi"/>
          <w:sz w:val="22"/>
          <w:szCs w:val="22"/>
        </w:rPr>
      </w:pPr>
    </w:p>
    <w:p w:rsidR="007968A9" w:rsidRDefault="007968A9" w:rsidP="00C828CB">
      <w:pPr>
        <w:rPr>
          <w:rFonts w:asciiTheme="minorHAnsi" w:hAnsiTheme="minorHAnsi" w:cstheme="minorHAnsi"/>
          <w:sz w:val="22"/>
          <w:szCs w:val="22"/>
        </w:rPr>
      </w:pPr>
    </w:p>
    <w:p w:rsidR="007968A9" w:rsidRDefault="007968A9" w:rsidP="00C828CB">
      <w:pPr>
        <w:rPr>
          <w:rFonts w:asciiTheme="minorHAnsi" w:hAnsiTheme="minorHAnsi" w:cstheme="minorHAnsi"/>
          <w:sz w:val="22"/>
          <w:szCs w:val="22"/>
        </w:rPr>
      </w:pPr>
    </w:p>
    <w:p w:rsidR="007968A9" w:rsidRPr="00183A3D" w:rsidRDefault="007968A9" w:rsidP="00C828CB">
      <w:pPr>
        <w:rPr>
          <w:rFonts w:asciiTheme="minorHAnsi" w:hAnsiTheme="minorHAnsi" w:cstheme="minorHAnsi"/>
          <w:sz w:val="22"/>
          <w:szCs w:val="22"/>
        </w:rPr>
      </w:pPr>
    </w:p>
    <w:p w:rsidR="008E26E3" w:rsidRDefault="00F83AE0" w:rsidP="00A3152C">
      <w:pPr>
        <w:pStyle w:val="Heading3"/>
        <w:numPr>
          <w:ilvl w:val="1"/>
          <w:numId w:val="2"/>
        </w:numPr>
      </w:pPr>
      <w:bookmarkStart w:id="14" w:name="_Toc517018618"/>
      <w:r>
        <w:rPr>
          <w:rFonts w:cstheme="minorHAnsi"/>
          <w:sz w:val="22"/>
          <w:szCs w:val="22"/>
        </w:rPr>
        <w:t>HIV Prevention and Detection</w:t>
      </w:r>
      <w:r>
        <w:t xml:space="preserve">: </w:t>
      </w:r>
      <w:r w:rsidRPr="0052035C">
        <w:rPr>
          <w:sz w:val="22"/>
          <w:szCs w:val="22"/>
        </w:rPr>
        <w:t xml:space="preserve">Achievements and Remaining </w:t>
      </w:r>
      <w:r w:rsidR="0052035C" w:rsidRPr="0052035C">
        <w:rPr>
          <w:sz w:val="22"/>
          <w:szCs w:val="22"/>
        </w:rPr>
        <w:t>Challenges</w:t>
      </w:r>
      <w:bookmarkEnd w:id="14"/>
    </w:p>
    <w:p w:rsidR="00BE080F" w:rsidRDefault="00BE080F" w:rsidP="00BE080F">
      <w:pPr>
        <w:jc w:val="both"/>
        <w:rPr>
          <w:rFonts w:asciiTheme="minorHAnsi" w:hAnsiTheme="minorHAnsi" w:cstheme="minorHAnsi"/>
          <w:sz w:val="22"/>
          <w:szCs w:val="22"/>
        </w:rPr>
      </w:pPr>
    </w:p>
    <w:p w:rsidR="007F4471" w:rsidRDefault="007F4471" w:rsidP="00A5458A">
      <w:pPr>
        <w:pStyle w:val="Default"/>
        <w:rPr>
          <w:rFonts w:asciiTheme="minorHAnsi" w:hAnsiTheme="minorHAnsi" w:cstheme="minorHAnsi"/>
          <w:sz w:val="22"/>
          <w:szCs w:val="22"/>
        </w:rPr>
      </w:pPr>
    </w:p>
    <w:p w:rsidR="007F4471" w:rsidRDefault="007F4471" w:rsidP="00A5458A">
      <w:pPr>
        <w:pStyle w:val="Default"/>
        <w:rPr>
          <w:rFonts w:asciiTheme="minorHAnsi" w:hAnsiTheme="minorHAnsi" w:cstheme="minorHAnsi"/>
          <w:sz w:val="22"/>
          <w:szCs w:val="22"/>
        </w:rPr>
      </w:pPr>
    </w:p>
    <w:p w:rsidR="00687404" w:rsidRDefault="00687404" w:rsidP="00A5458A">
      <w:pPr>
        <w:pStyle w:val="Default"/>
        <w:rPr>
          <w:rFonts w:asciiTheme="minorHAnsi" w:hAnsiTheme="minorHAnsi" w:cstheme="minorHAnsi"/>
          <w:sz w:val="22"/>
          <w:szCs w:val="22"/>
        </w:rPr>
      </w:pPr>
    </w:p>
    <w:p w:rsidR="000C44C3" w:rsidRDefault="00F83AE0" w:rsidP="00A5458A">
      <w:pPr>
        <w:pStyle w:val="Default"/>
        <w:rPr>
          <w:rFonts w:asciiTheme="minorHAnsi" w:hAnsiTheme="minorHAnsi" w:cstheme="minorHAnsi"/>
          <w:sz w:val="22"/>
          <w:szCs w:val="22"/>
          <w:lang w:val="en-GB"/>
        </w:rPr>
      </w:pPr>
      <w:r>
        <w:rPr>
          <w:rFonts w:asciiTheme="minorHAnsi" w:hAnsiTheme="minorHAnsi" w:cstheme="minorHAnsi"/>
          <w:sz w:val="22"/>
          <w:szCs w:val="22"/>
        </w:rPr>
        <w:t xml:space="preserve">To increase the coverage with preventive activities, 2019 – 2022 NSP proposes to make them more attractive through expansion </w:t>
      </w:r>
      <w:r w:rsidR="00BD1E42">
        <w:rPr>
          <w:rFonts w:asciiTheme="minorHAnsi" w:hAnsiTheme="minorHAnsi" w:cstheme="minorHAnsi"/>
          <w:sz w:val="22"/>
          <w:szCs w:val="22"/>
        </w:rPr>
        <w:t>of services</w:t>
      </w:r>
      <w:r>
        <w:rPr>
          <w:rFonts w:asciiTheme="minorHAnsi" w:hAnsiTheme="minorHAnsi" w:cstheme="minorHAnsi"/>
          <w:sz w:val="22"/>
          <w:szCs w:val="22"/>
        </w:rPr>
        <w:t xml:space="preserve"> offered. For instance, </w:t>
      </w:r>
      <w:r w:rsidR="004C04C7">
        <w:rPr>
          <w:rFonts w:asciiTheme="minorHAnsi" w:hAnsiTheme="minorHAnsi" w:cstheme="minorHAnsi"/>
          <w:sz w:val="22"/>
          <w:szCs w:val="22"/>
        </w:rPr>
        <w:t xml:space="preserve">adding </w:t>
      </w:r>
      <w:r w:rsidR="004C04C7">
        <w:rPr>
          <w:rFonts w:asciiTheme="minorHAnsi" w:hAnsiTheme="minorHAnsi" w:cstheme="minorHAnsi"/>
          <w:sz w:val="22"/>
          <w:szCs w:val="22"/>
          <w:lang w:val="en-GB"/>
        </w:rPr>
        <w:t xml:space="preserve">vaccination/treatment of Hep C and Hep </w:t>
      </w:r>
      <w:r w:rsidR="004C04C7" w:rsidRPr="00987505">
        <w:rPr>
          <w:rFonts w:asciiTheme="minorHAnsi" w:hAnsiTheme="minorHAnsi" w:cstheme="minorHAnsi"/>
          <w:sz w:val="22"/>
          <w:szCs w:val="22"/>
          <w:lang w:val="en-GB"/>
        </w:rPr>
        <w:t>B to HIV case management protocol</w:t>
      </w:r>
      <w:r w:rsidR="004C04C7">
        <w:rPr>
          <w:rFonts w:asciiTheme="minorHAnsi" w:hAnsiTheme="minorHAnsi" w:cstheme="minorHAnsi"/>
          <w:sz w:val="22"/>
          <w:szCs w:val="22"/>
          <w:lang w:val="en-GB"/>
        </w:rPr>
        <w:t xml:space="preserve"> gives the opportunity to get multiple services at one point, that will decrease </w:t>
      </w:r>
      <w:r w:rsidR="0024268E">
        <w:rPr>
          <w:rFonts w:asciiTheme="minorHAnsi" w:hAnsiTheme="minorHAnsi" w:cstheme="minorHAnsi"/>
          <w:sz w:val="22"/>
          <w:szCs w:val="22"/>
          <w:lang w:val="en-GB"/>
        </w:rPr>
        <w:t>t</w:t>
      </w:r>
      <w:r w:rsidR="004C04C7">
        <w:rPr>
          <w:rFonts w:asciiTheme="minorHAnsi" w:hAnsiTheme="minorHAnsi" w:cstheme="minorHAnsi"/>
          <w:sz w:val="22"/>
          <w:szCs w:val="22"/>
          <w:lang w:val="en-GB"/>
        </w:rPr>
        <w:t xml:space="preserve">he travel time and cost associated to it. </w:t>
      </w:r>
      <w:r w:rsidR="006F7DD9">
        <w:rPr>
          <w:rFonts w:asciiTheme="minorHAnsi" w:hAnsiTheme="minorHAnsi" w:cstheme="minorHAnsi"/>
          <w:sz w:val="22"/>
          <w:szCs w:val="22"/>
          <w:lang w:val="en-GB"/>
        </w:rPr>
        <w:t xml:space="preserve">As it was already mentioned </w:t>
      </w:r>
      <w:r w:rsidR="00777A72">
        <w:rPr>
          <w:rFonts w:asciiTheme="minorHAnsi" w:hAnsiTheme="minorHAnsi" w:cstheme="minorHAnsi"/>
          <w:sz w:val="22"/>
          <w:szCs w:val="22"/>
          <w:lang w:val="en-GB"/>
        </w:rPr>
        <w:t xml:space="preserve">Georgia is providing Hep C treatment program for entire population for free. </w:t>
      </w:r>
      <w:r w:rsidR="00D70381">
        <w:rPr>
          <w:rFonts w:asciiTheme="minorHAnsi" w:hAnsiTheme="minorHAnsi" w:cstheme="minorHAnsi"/>
          <w:sz w:val="22"/>
          <w:szCs w:val="22"/>
          <w:lang w:val="en-GB"/>
        </w:rPr>
        <w:t>This is a great opportunity to integrate HIV testing into existing program and expand</w:t>
      </w:r>
      <w:r w:rsidR="00BC1581">
        <w:rPr>
          <w:rFonts w:asciiTheme="minorHAnsi" w:hAnsiTheme="minorHAnsi" w:cstheme="minorHAnsi"/>
          <w:sz w:val="22"/>
          <w:szCs w:val="22"/>
          <w:lang w:val="en-GB"/>
        </w:rPr>
        <w:t xml:space="preserve"> HIV testing</w:t>
      </w:r>
      <w:r w:rsidR="0024268E">
        <w:rPr>
          <w:rFonts w:asciiTheme="minorHAnsi" w:hAnsiTheme="minorHAnsi" w:cstheme="minorHAnsi"/>
          <w:sz w:val="22"/>
          <w:szCs w:val="22"/>
          <w:lang w:val="en-GB"/>
        </w:rPr>
        <w:t xml:space="preserve"> uptake</w:t>
      </w:r>
      <w:r w:rsidR="00500463">
        <w:rPr>
          <w:rFonts w:asciiTheme="minorHAnsi" w:hAnsiTheme="minorHAnsi" w:cstheme="minorHAnsi"/>
          <w:sz w:val="22"/>
          <w:szCs w:val="22"/>
          <w:lang w:val="en-GB"/>
        </w:rPr>
        <w:t xml:space="preserve">. </w:t>
      </w:r>
      <w:r w:rsidR="003E5B03">
        <w:rPr>
          <w:rFonts w:asciiTheme="minorHAnsi" w:hAnsiTheme="minorHAnsi" w:cstheme="minorHAnsi"/>
          <w:sz w:val="22"/>
          <w:szCs w:val="22"/>
          <w:lang w:val="en-GB"/>
        </w:rPr>
        <w:t>Currently, this approach is tested in several regions in the country and most lik</w:t>
      </w:r>
      <w:r w:rsidR="001F0BD7">
        <w:rPr>
          <w:rFonts w:asciiTheme="minorHAnsi" w:hAnsiTheme="minorHAnsi" w:cstheme="minorHAnsi"/>
          <w:sz w:val="22"/>
          <w:szCs w:val="22"/>
          <w:lang w:val="en-GB"/>
        </w:rPr>
        <w:t xml:space="preserve">ely will prove to be effective, </w:t>
      </w:r>
      <w:r w:rsidR="0077322B">
        <w:rPr>
          <w:rFonts w:asciiTheme="minorHAnsi" w:hAnsiTheme="minorHAnsi" w:cstheme="minorHAnsi"/>
          <w:sz w:val="22"/>
          <w:szCs w:val="22"/>
          <w:lang w:val="en-GB"/>
        </w:rPr>
        <w:t xml:space="preserve">if that’s the case, integration will be expanded to </w:t>
      </w:r>
      <w:r w:rsidR="00BD1E42">
        <w:rPr>
          <w:rFonts w:asciiTheme="minorHAnsi" w:hAnsiTheme="minorHAnsi" w:cstheme="minorHAnsi"/>
          <w:sz w:val="22"/>
          <w:szCs w:val="22"/>
          <w:lang w:val="en-GB"/>
        </w:rPr>
        <w:t xml:space="preserve">the </w:t>
      </w:r>
      <w:r w:rsidR="0077322B">
        <w:rPr>
          <w:rFonts w:asciiTheme="minorHAnsi" w:hAnsiTheme="minorHAnsi" w:cstheme="minorHAnsi"/>
          <w:sz w:val="22"/>
          <w:szCs w:val="22"/>
          <w:lang w:val="en-GB"/>
        </w:rPr>
        <w:t>entire country.</w:t>
      </w:r>
    </w:p>
    <w:p w:rsidR="00857BCB" w:rsidRDefault="00857BCB" w:rsidP="00A5458A">
      <w:pPr>
        <w:pStyle w:val="Default"/>
        <w:rPr>
          <w:rFonts w:asciiTheme="minorHAnsi" w:hAnsiTheme="minorHAnsi" w:cstheme="minorHAnsi"/>
          <w:sz w:val="22"/>
          <w:szCs w:val="22"/>
          <w:lang w:val="en-GB"/>
        </w:rPr>
      </w:pPr>
    </w:p>
    <w:p w:rsidR="00857BCB" w:rsidRDefault="00F83AE0" w:rsidP="00857BCB">
      <w:pPr>
        <w:pStyle w:val="Default"/>
        <w:rPr>
          <w:rFonts w:asciiTheme="minorHAnsi" w:hAnsiTheme="minorHAnsi" w:cstheme="minorHAnsi"/>
          <w:sz w:val="22"/>
          <w:szCs w:val="22"/>
          <w:lang w:val="en-GB"/>
        </w:rPr>
      </w:pPr>
      <w:r>
        <w:rPr>
          <w:rFonts w:asciiTheme="minorHAnsi" w:hAnsiTheme="minorHAnsi" w:cstheme="minorHAnsi"/>
          <w:sz w:val="22"/>
          <w:szCs w:val="22"/>
          <w:lang w:val="en-GB"/>
        </w:rPr>
        <w:t xml:space="preserve">Provision of legal and psycho-social assistance, adding </w:t>
      </w:r>
      <w:r w:rsidRPr="00987505">
        <w:rPr>
          <w:rFonts w:asciiTheme="minorHAnsi" w:hAnsiTheme="minorHAnsi" w:cstheme="minorHAnsi"/>
          <w:sz w:val="22"/>
          <w:szCs w:val="22"/>
          <w:lang w:val="en-GB"/>
        </w:rPr>
        <w:t>vaccination/treatment of Hep C/B to HIV case management protocol</w:t>
      </w:r>
      <w:r>
        <w:rPr>
          <w:rFonts w:asciiTheme="minorHAnsi" w:hAnsiTheme="minorHAnsi" w:cstheme="minorHAnsi"/>
          <w:sz w:val="22"/>
          <w:szCs w:val="22"/>
          <w:lang w:val="en-GB"/>
        </w:rPr>
        <w:t>, adding HIV testing to Hep C screening standards - all is envisioned to expand the coverage.</w:t>
      </w:r>
    </w:p>
    <w:p w:rsidR="00857BCB" w:rsidRDefault="00857BCB" w:rsidP="00857BCB">
      <w:pPr>
        <w:pStyle w:val="Default"/>
        <w:rPr>
          <w:rFonts w:asciiTheme="minorHAnsi" w:hAnsiTheme="minorHAnsi" w:cstheme="minorHAnsi"/>
          <w:sz w:val="22"/>
          <w:szCs w:val="22"/>
          <w:lang w:val="en-GB"/>
        </w:rPr>
      </w:pPr>
    </w:p>
    <w:p w:rsidR="00857BCB" w:rsidRDefault="00F83AE0" w:rsidP="00857BCB">
      <w:pPr>
        <w:pStyle w:val="Default"/>
        <w:rPr>
          <w:rFonts w:asciiTheme="minorHAnsi" w:hAnsiTheme="minorHAnsi" w:cstheme="minorHAnsi"/>
          <w:sz w:val="22"/>
          <w:szCs w:val="22"/>
        </w:rPr>
      </w:pPr>
      <w:r w:rsidRPr="00ED2A6A">
        <w:rPr>
          <w:rFonts w:asciiTheme="minorHAnsi" w:hAnsiTheme="minorHAnsi" w:cstheme="minorHAnsi"/>
          <w:sz w:val="22"/>
          <w:szCs w:val="22"/>
        </w:rPr>
        <w:t xml:space="preserve">HIV detection efforts will include universal testing (PMTCT screening) of pregnant women; </w:t>
      </w:r>
      <w:r>
        <w:rPr>
          <w:rFonts w:asciiTheme="minorHAnsi" w:hAnsiTheme="minorHAnsi" w:cstheme="minorHAnsi"/>
          <w:sz w:val="22"/>
          <w:szCs w:val="22"/>
        </w:rPr>
        <w:t>p</w:t>
      </w:r>
      <w:r w:rsidRPr="00ED2A6A">
        <w:rPr>
          <w:rFonts w:asciiTheme="minorHAnsi" w:hAnsiTheme="minorHAnsi" w:cstheme="minorHAnsi"/>
          <w:sz w:val="22"/>
          <w:szCs w:val="22"/>
        </w:rPr>
        <w:t xml:space="preserve">rovider-initiated testing on clinical and behavioral indications; </w:t>
      </w:r>
      <w:r>
        <w:rPr>
          <w:rFonts w:asciiTheme="minorHAnsi" w:hAnsiTheme="minorHAnsi" w:cstheme="minorHAnsi"/>
          <w:sz w:val="22"/>
          <w:szCs w:val="22"/>
        </w:rPr>
        <w:t>p</w:t>
      </w:r>
      <w:r w:rsidRPr="00ED2A6A">
        <w:rPr>
          <w:rFonts w:asciiTheme="minorHAnsi" w:hAnsiTheme="minorHAnsi" w:cstheme="minorHAnsi"/>
          <w:sz w:val="22"/>
          <w:szCs w:val="22"/>
        </w:rPr>
        <w:t xml:space="preserve">romotion of VCT among the contacts of those who tested HIV positive. </w:t>
      </w:r>
    </w:p>
    <w:p w:rsidR="00D53501" w:rsidRDefault="00D53501" w:rsidP="00857BCB">
      <w:pPr>
        <w:pStyle w:val="Default"/>
        <w:rPr>
          <w:rFonts w:asciiTheme="minorHAnsi" w:hAnsiTheme="minorHAnsi" w:cstheme="minorHAnsi"/>
          <w:sz w:val="22"/>
          <w:szCs w:val="22"/>
        </w:rPr>
      </w:pPr>
    </w:p>
    <w:p w:rsidR="00D53501" w:rsidRDefault="00F83AE0" w:rsidP="00D53501">
      <w:pPr>
        <w:pStyle w:val="Default"/>
        <w:rPr>
          <w:rFonts w:asciiTheme="minorHAnsi" w:hAnsiTheme="minorHAnsi" w:cstheme="minorHAnsi"/>
          <w:sz w:val="22"/>
          <w:szCs w:val="22"/>
        </w:rPr>
      </w:pPr>
      <w:r w:rsidRPr="00ED2A6A">
        <w:rPr>
          <w:rFonts w:asciiTheme="minorHAnsi" w:hAnsiTheme="minorHAnsi" w:cstheme="minorHAnsi"/>
          <w:sz w:val="22"/>
          <w:szCs w:val="22"/>
        </w:rPr>
        <w:lastRenderedPageBreak/>
        <w:t xml:space="preserve">Observance of essential human rights, confidentiality principles and voluntary acceptance of the offered services will be ensured in all settings. Patients who test positive for HIV will be offered support required for their timely progression to care and treatment. </w:t>
      </w:r>
    </w:p>
    <w:p w:rsidR="00D53501" w:rsidRPr="00ED2A6A" w:rsidRDefault="00D53501" w:rsidP="00D53501">
      <w:pPr>
        <w:pStyle w:val="Default"/>
        <w:rPr>
          <w:rFonts w:asciiTheme="minorHAnsi" w:hAnsiTheme="minorHAnsi" w:cstheme="minorHAnsi"/>
          <w:sz w:val="22"/>
          <w:szCs w:val="22"/>
        </w:rPr>
      </w:pPr>
    </w:p>
    <w:p w:rsidR="00D53501" w:rsidRDefault="00F83AE0" w:rsidP="00D53501">
      <w:pPr>
        <w:rPr>
          <w:rFonts w:asciiTheme="minorHAnsi" w:hAnsiTheme="minorHAnsi" w:cstheme="minorHAnsi"/>
          <w:sz w:val="22"/>
          <w:szCs w:val="22"/>
        </w:rPr>
      </w:pPr>
      <w:r w:rsidRPr="00ED2A6A">
        <w:rPr>
          <w:rFonts w:asciiTheme="minorHAnsi" w:hAnsiTheme="minorHAnsi" w:cstheme="minorHAnsi"/>
          <w:sz w:val="22"/>
          <w:szCs w:val="22"/>
        </w:rPr>
        <w:t>Implementation of the PIT will continue to focus on drug treatment facilities, STI and TB clinics, and antenatal care facilities, with the intention to expand indicator disease</w:t>
      </w:r>
      <w:r>
        <w:rPr>
          <w:rFonts w:ascii="Sylfaen" w:hAnsi="Sylfaen" w:cstheme="minorHAnsi"/>
          <w:sz w:val="22"/>
          <w:szCs w:val="22"/>
          <w:lang w:val="ka-GE"/>
        </w:rPr>
        <w:t>-</w:t>
      </w:r>
      <w:r w:rsidRPr="00ED2A6A">
        <w:rPr>
          <w:rFonts w:asciiTheme="minorHAnsi" w:hAnsiTheme="minorHAnsi" w:cstheme="minorHAnsi"/>
          <w:sz w:val="22"/>
          <w:szCs w:val="22"/>
        </w:rPr>
        <w:t>guided HIV testing and counseling in the health sector, including in primary health care. HIV testing efforts will be expanded in people living with HCV through establishing linkages with national hepatitis C program.</w:t>
      </w:r>
      <w:r>
        <w:rPr>
          <w:rFonts w:asciiTheme="minorHAnsi" w:hAnsiTheme="minorHAnsi" w:cstheme="minorHAnsi"/>
          <w:sz w:val="22"/>
          <w:szCs w:val="22"/>
        </w:rPr>
        <w:t xml:space="preserve"> </w:t>
      </w:r>
      <w:r w:rsidRPr="00ED2A6A">
        <w:rPr>
          <w:rFonts w:asciiTheme="minorHAnsi" w:hAnsiTheme="minorHAnsi" w:cstheme="minorHAnsi"/>
          <w:sz w:val="22"/>
          <w:szCs w:val="22"/>
        </w:rPr>
        <w:t>The developed PIT standards will be further reviewed, endorsed by the relevant state authorities and rolled-out through in-service training program involving personnel of the mentioned facilities.</w:t>
      </w:r>
    </w:p>
    <w:p w:rsidR="004D09C3" w:rsidRDefault="00F83AE0" w:rsidP="00D53501">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simplePos x="0" y="0"/>
                <wp:positionH relativeFrom="column">
                  <wp:posOffset>7951</wp:posOffset>
                </wp:positionH>
                <wp:positionV relativeFrom="paragraph">
                  <wp:posOffset>146050</wp:posOffset>
                </wp:positionV>
                <wp:extent cx="5963285" cy="2425148"/>
                <wp:effectExtent l="0" t="0" r="18415" b="13335"/>
                <wp:wrapNone/>
                <wp:docPr id="38" name="Text Box 38"/>
                <wp:cNvGraphicFramePr/>
                <a:graphic xmlns:a="http://schemas.openxmlformats.org/drawingml/2006/main">
                  <a:graphicData uri="http://schemas.microsoft.com/office/word/2010/wordprocessingShape">
                    <wps:wsp>
                      <wps:cNvSpPr txBox="1"/>
                      <wps:spPr>
                        <a:xfrm>
                          <a:off x="0" y="0"/>
                          <a:ext cx="5963285" cy="2425148"/>
                        </a:xfrm>
                        <a:prstGeom prst="roundRect">
                          <a:avLst/>
                        </a:prstGeom>
                      </wps:spPr>
                      <wps:style>
                        <a:lnRef idx="2">
                          <a:schemeClr val="accent1"/>
                        </a:lnRef>
                        <a:fillRef idx="1">
                          <a:schemeClr val="lt1"/>
                        </a:fillRef>
                        <a:effectRef idx="0">
                          <a:schemeClr val="accent1"/>
                        </a:effectRef>
                        <a:fontRef idx="minor">
                          <a:schemeClr val="dk1"/>
                        </a:fontRef>
                      </wps:style>
                      <wps:txbx>
                        <w:txbxContent>
                          <w:tbl>
                            <w:tblPr>
                              <w:tblW w:w="8568" w:type="dxa"/>
                              <w:tblLayout w:type="fixed"/>
                              <w:tblLook w:val="0000" w:firstRow="0" w:lastRow="0" w:firstColumn="0" w:lastColumn="0" w:noHBand="0" w:noVBand="0"/>
                            </w:tblPr>
                            <w:tblGrid>
                              <w:gridCol w:w="3348"/>
                              <w:gridCol w:w="1350"/>
                              <w:gridCol w:w="1350"/>
                              <w:gridCol w:w="1260"/>
                              <w:gridCol w:w="1260"/>
                            </w:tblGrid>
                            <w:tr w:rsidR="00F83AE0" w:rsidTr="002667FF">
                              <w:trPr>
                                <w:trHeight w:val="279"/>
                              </w:trPr>
                              <w:tc>
                                <w:tcPr>
                                  <w:tcW w:w="8568" w:type="dxa"/>
                                  <w:gridSpan w:val="5"/>
                                  <w:shd w:val="clear" w:color="auto" w:fill="auto"/>
                                </w:tcPr>
                                <w:p w:rsidR="00F83AE0" w:rsidRPr="008F7A5C" w:rsidRDefault="00F83AE0" w:rsidP="008F7A5C">
                                  <w:pPr>
                                    <w:widowControl w:val="0"/>
                                    <w:autoSpaceDE w:val="0"/>
                                    <w:autoSpaceDN w:val="0"/>
                                    <w:adjustRightInd w:val="0"/>
                                    <w:jc w:val="center"/>
                                    <w:rPr>
                                      <w:rFonts w:ascii="Calibri" w:hAnsi="Calibri" w:cs="Calibri"/>
                                      <w:b/>
                                      <w:bCs/>
                                      <w:color w:val="2F5496" w:themeColor="accent1" w:themeShade="BF"/>
                                      <w:sz w:val="21"/>
                                      <w:szCs w:val="21"/>
                                    </w:rPr>
                                  </w:pPr>
                                  <w:r w:rsidRPr="008F7A5C">
                                    <w:rPr>
                                      <w:rFonts w:ascii="Calibri" w:hAnsi="Calibri" w:cs="Calibri"/>
                                      <w:b/>
                                      <w:color w:val="2F5496" w:themeColor="accent1" w:themeShade="BF"/>
                                      <w:sz w:val="21"/>
                                      <w:szCs w:val="21"/>
                                    </w:rPr>
                                    <w:t xml:space="preserve">Service coverage indicators </w:t>
                                  </w:r>
                                </w:p>
                              </w:tc>
                            </w:tr>
                            <w:tr w:rsidR="00F83AE0" w:rsidTr="008F7A5C">
                              <w:trPr>
                                <w:trHeight w:val="279"/>
                              </w:trPr>
                              <w:tc>
                                <w:tcPr>
                                  <w:tcW w:w="3348" w:type="dxa"/>
                                  <w:shd w:val="clear" w:color="auto" w:fill="auto"/>
                                </w:tcPr>
                                <w:p w:rsidR="00F83AE0" w:rsidRPr="009144AE" w:rsidRDefault="00F83AE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color w:val="2F5496" w:themeColor="accent1" w:themeShade="BF"/>
                                      <w:sz w:val="21"/>
                                      <w:szCs w:val="21"/>
                                    </w:rPr>
                                    <w:t>Key populations</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2019</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2021</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b/>
                                      <w:bCs/>
                                      <w:color w:val="2F5496" w:themeColor="accent1" w:themeShade="BF"/>
                                      <w:sz w:val="21"/>
                                      <w:szCs w:val="21"/>
                                    </w:rPr>
                                  </w:pPr>
                                  <w:r w:rsidRPr="009144AE">
                                    <w:rPr>
                                      <w:rFonts w:ascii="Calibri" w:hAnsi="Calibri" w:cs="Calibri"/>
                                      <w:b/>
                                      <w:bCs/>
                                      <w:color w:val="2F5496" w:themeColor="accent1" w:themeShade="BF"/>
                                      <w:sz w:val="21"/>
                                      <w:szCs w:val="21"/>
                                    </w:rPr>
                                    <w:t>2022</w:t>
                                  </w:r>
                                </w:p>
                              </w:tc>
                            </w:tr>
                            <w:tr w:rsidR="00F83AE0" w:rsidTr="008F7A5C">
                              <w:trPr>
                                <w:trHeight w:val="279"/>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Number of People living with HIV who know their status</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6,800</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8,200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9,600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11,000 (90%)</w:t>
                                  </w:r>
                                </w:p>
                              </w:tc>
                            </w:tr>
                            <w:tr w:rsidR="00F83AE0" w:rsidTr="008F7A5C">
                              <w:trPr>
                                <w:trHeight w:val="263"/>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color w:val="2F5496" w:themeColor="accent1" w:themeShade="BF"/>
                                      <w:sz w:val="21"/>
                                      <w:szCs w:val="21"/>
                                    </w:rPr>
                                    <w:t xml:space="preserve">PWIDs coverage with services </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r w:rsidR="00F83AE0" w:rsidTr="008F7A5C">
                              <w:trPr>
                                <w:trHeight w:val="279"/>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PWIDs testing for HIV</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r>
                            <w:tr w:rsidR="00F83AE0" w:rsidTr="008F7A5C">
                              <w:trPr>
                                <w:trHeight w:val="263"/>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color w:val="2F5496" w:themeColor="accent1" w:themeShade="BF"/>
                                      <w:sz w:val="21"/>
                                      <w:szCs w:val="21"/>
                                    </w:rPr>
                                    <w:t>Number of PWIDS receiving OST</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9,500</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r>
                            <w:tr w:rsidR="00F83AE0" w:rsidTr="008F7A5C">
                              <w:trPr>
                                <w:trHeight w:val="263"/>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MSM coverage with services</w:t>
                                  </w:r>
                                </w:p>
                              </w:tc>
                              <w:tc>
                                <w:tcPr>
                                  <w:tcW w:w="135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35%</w:t>
                                  </w:r>
                                </w:p>
                              </w:tc>
                              <w:tc>
                                <w:tcPr>
                                  <w:tcW w:w="135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40%</w:t>
                                  </w:r>
                                </w:p>
                              </w:tc>
                              <w:tc>
                                <w:tcPr>
                                  <w:tcW w:w="126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50%</w:t>
                                  </w:r>
                                </w:p>
                              </w:tc>
                            </w:tr>
                            <w:tr w:rsidR="00F83AE0" w:rsidTr="008F7A5C">
                              <w:trPr>
                                <w:trHeight w:val="279"/>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MSM testing for HIV</w:t>
                                  </w:r>
                                </w:p>
                              </w:tc>
                              <w:tc>
                                <w:tcPr>
                                  <w:tcW w:w="135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20%</w:t>
                                  </w:r>
                                </w:p>
                              </w:tc>
                              <w:tc>
                                <w:tcPr>
                                  <w:tcW w:w="135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25%</w:t>
                                  </w:r>
                                </w:p>
                              </w:tc>
                              <w:tc>
                                <w:tcPr>
                                  <w:tcW w:w="126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35%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45%</w:t>
                                  </w:r>
                                </w:p>
                              </w:tc>
                            </w:tr>
                            <w:tr w:rsidR="00F83AE0" w:rsidTr="008F7A5C">
                              <w:trPr>
                                <w:trHeight w:val="263"/>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SWs coverage with services</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r>
                            <w:tr w:rsidR="00F83AE0" w:rsidTr="008F7A5C">
                              <w:trPr>
                                <w:trHeight w:val="340"/>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SWs testing for HIV</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40%</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r>
                            <w:tr w:rsidR="00F83AE0" w:rsidTr="008F7A5C">
                              <w:trPr>
                                <w:trHeight w:val="349"/>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Prisoners tested for HIV</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bl>
                          <w:p w:rsidR="00F83AE0" w:rsidRPr="009144AE" w:rsidRDefault="00F83AE0">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oundrect id="Text Box 38" o:spid="_x0000_s1028" style="position:absolute;margin-left:.65pt;margin-top:11.5pt;width:469.55pt;height:190.9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" fillcolor="white [3201]" strokecolor="#4472c4 [3204]" strokeweight="1pt">
                <v:stroke joinstyle="miter"/>
                <v:textbox>
                  <w:txbxContent>
                    <w:tbl>
                      <w:tblPr>
                        <w:tblW w:w="8568" w:type="dxa"/>
                        <w:tblLayout w:type="fixed"/>
                        <w:tblLook w:val="0000" w:firstRow="0" w:lastRow="0" w:firstColumn="0" w:lastColumn="0" w:noHBand="0" w:noVBand="0"/>
                      </w:tblPr>
                      <w:tblGrid>
                        <w:gridCol w:w="3348"/>
                        <w:gridCol w:w="1350"/>
                        <w:gridCol w:w="1350"/>
                        <w:gridCol w:w="1260"/>
                        <w:gridCol w:w="1260"/>
                      </w:tblGrid>
                      <w:tr w:rsidR="00F83AE0" w:rsidTr="002667FF">
                        <w:trPr>
                          <w:trHeight w:val="279"/>
                        </w:trPr>
                        <w:tc>
                          <w:tcPr>
                            <w:tcW w:w="8568" w:type="dxa"/>
                            <w:gridSpan w:val="5"/>
                            <w:shd w:val="clear" w:color="auto" w:fill="auto"/>
                          </w:tcPr>
                          <w:p w:rsidR="00F83AE0" w:rsidRPr="008F7A5C" w:rsidRDefault="00F83AE0" w:rsidP="008F7A5C">
                            <w:pPr>
                              <w:widowControl w:val="0"/>
                              <w:autoSpaceDE w:val="0"/>
                              <w:autoSpaceDN w:val="0"/>
                              <w:adjustRightInd w:val="0"/>
                              <w:jc w:val="center"/>
                              <w:rPr>
                                <w:rFonts w:ascii="Calibri" w:hAnsi="Calibri" w:cs="Calibri"/>
                                <w:b/>
                                <w:bCs/>
                                <w:color w:val="2F5496" w:themeColor="accent1" w:themeShade="BF"/>
                                <w:sz w:val="21"/>
                                <w:szCs w:val="21"/>
                              </w:rPr>
                            </w:pPr>
                            <w:r w:rsidRPr="008F7A5C">
                              <w:rPr>
                                <w:rFonts w:ascii="Calibri" w:hAnsi="Calibri" w:cs="Calibri"/>
                                <w:b/>
                                <w:color w:val="2F5496" w:themeColor="accent1" w:themeShade="BF"/>
                                <w:sz w:val="21"/>
                                <w:szCs w:val="21"/>
                              </w:rPr>
                              <w:t xml:space="preserve">Service coverage indicators </w:t>
                            </w:r>
                          </w:p>
                        </w:tc>
                      </w:tr>
                      <w:tr w:rsidR="00F83AE0" w:rsidTr="008F7A5C">
                        <w:trPr>
                          <w:trHeight w:val="279"/>
                        </w:trPr>
                        <w:tc>
                          <w:tcPr>
                            <w:tcW w:w="3348" w:type="dxa"/>
                            <w:shd w:val="clear" w:color="auto" w:fill="auto"/>
                          </w:tcPr>
                          <w:p w:rsidR="00F83AE0" w:rsidRPr="009144AE" w:rsidRDefault="00F83AE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color w:val="2F5496" w:themeColor="accent1" w:themeShade="BF"/>
                                <w:sz w:val="21"/>
                                <w:szCs w:val="21"/>
                              </w:rPr>
                              <w:t>Key populations</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2019</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b/>
                                <w:color w:val="2F5496" w:themeColor="accent1" w:themeShade="BF"/>
                                <w:sz w:val="21"/>
                                <w:szCs w:val="21"/>
                              </w:rPr>
                            </w:pPr>
                            <w:r w:rsidRPr="009144AE">
                              <w:rPr>
                                <w:rFonts w:ascii="Calibri" w:hAnsi="Calibri" w:cs="Calibri"/>
                                <w:b/>
                                <w:bCs/>
                                <w:color w:val="2F5496" w:themeColor="accent1" w:themeShade="BF"/>
                                <w:sz w:val="21"/>
                                <w:szCs w:val="21"/>
                              </w:rPr>
                              <w:t>2021</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b/>
                                <w:bCs/>
                                <w:color w:val="2F5496" w:themeColor="accent1" w:themeShade="BF"/>
                                <w:sz w:val="21"/>
                                <w:szCs w:val="21"/>
                              </w:rPr>
                            </w:pPr>
                            <w:r w:rsidRPr="009144AE">
                              <w:rPr>
                                <w:rFonts w:ascii="Calibri" w:hAnsi="Calibri" w:cs="Calibri"/>
                                <w:b/>
                                <w:bCs/>
                                <w:color w:val="2F5496" w:themeColor="accent1" w:themeShade="BF"/>
                                <w:sz w:val="21"/>
                                <w:szCs w:val="21"/>
                              </w:rPr>
                              <w:t>2022</w:t>
                            </w:r>
                          </w:p>
                        </w:tc>
                      </w:tr>
                      <w:tr w:rsidR="00F83AE0" w:rsidTr="008F7A5C">
                        <w:trPr>
                          <w:trHeight w:val="279"/>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Number of People living with HIV who know their status</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6,800</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8,200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9,600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11,000 (90%)</w:t>
                            </w:r>
                          </w:p>
                        </w:tc>
                      </w:tr>
                      <w:tr w:rsidR="00F83AE0" w:rsidTr="008F7A5C">
                        <w:trPr>
                          <w:trHeight w:val="263"/>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color w:val="2F5496" w:themeColor="accent1" w:themeShade="BF"/>
                                <w:sz w:val="21"/>
                                <w:szCs w:val="21"/>
                              </w:rPr>
                              <w:t xml:space="preserve">PWIDs coverage with services </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r w:rsidR="00F83AE0" w:rsidTr="008F7A5C">
                        <w:trPr>
                          <w:trHeight w:val="279"/>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PWIDs testing for HIV</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r>
                      <w:tr w:rsidR="00F83AE0" w:rsidTr="008F7A5C">
                        <w:trPr>
                          <w:trHeight w:val="263"/>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color w:val="2F5496" w:themeColor="accent1" w:themeShade="BF"/>
                                <w:sz w:val="21"/>
                                <w:szCs w:val="21"/>
                              </w:rPr>
                              <w:t>Number of PWIDS receiving OST</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9,500</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11,000</w:t>
                            </w:r>
                          </w:p>
                        </w:tc>
                      </w:tr>
                      <w:tr w:rsidR="00F83AE0" w:rsidTr="008F7A5C">
                        <w:trPr>
                          <w:trHeight w:val="263"/>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MSM coverage with services</w:t>
                            </w:r>
                          </w:p>
                        </w:tc>
                        <w:tc>
                          <w:tcPr>
                            <w:tcW w:w="135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35%</w:t>
                            </w:r>
                          </w:p>
                        </w:tc>
                        <w:tc>
                          <w:tcPr>
                            <w:tcW w:w="135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40%</w:t>
                            </w:r>
                          </w:p>
                        </w:tc>
                        <w:tc>
                          <w:tcPr>
                            <w:tcW w:w="126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50%</w:t>
                            </w:r>
                          </w:p>
                        </w:tc>
                      </w:tr>
                      <w:tr w:rsidR="00F83AE0" w:rsidTr="008F7A5C">
                        <w:trPr>
                          <w:trHeight w:val="279"/>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MSM testing for HIV</w:t>
                            </w:r>
                          </w:p>
                        </w:tc>
                        <w:tc>
                          <w:tcPr>
                            <w:tcW w:w="135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20%</w:t>
                            </w:r>
                          </w:p>
                        </w:tc>
                        <w:tc>
                          <w:tcPr>
                            <w:tcW w:w="135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25%</w:t>
                            </w:r>
                          </w:p>
                        </w:tc>
                        <w:tc>
                          <w:tcPr>
                            <w:tcW w:w="1260" w:type="dxa"/>
                            <w:shd w:val="clear" w:color="auto" w:fill="auto"/>
                            <w:vAlign w:val="center"/>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35%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45%</w:t>
                            </w:r>
                          </w:p>
                        </w:tc>
                      </w:tr>
                      <w:tr w:rsidR="00F83AE0" w:rsidTr="008F7A5C">
                        <w:trPr>
                          <w:trHeight w:val="263"/>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SWs coverage with services</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60%</w:t>
                            </w:r>
                          </w:p>
                        </w:tc>
                      </w:tr>
                      <w:tr w:rsidR="00F83AE0" w:rsidTr="008F7A5C">
                        <w:trPr>
                          <w:trHeight w:val="340"/>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SWs testing for HIV</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40%</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45%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55%</w:t>
                            </w:r>
                          </w:p>
                        </w:tc>
                      </w:tr>
                      <w:tr w:rsidR="00F83AE0" w:rsidTr="008F7A5C">
                        <w:trPr>
                          <w:trHeight w:val="349"/>
                        </w:trPr>
                        <w:tc>
                          <w:tcPr>
                            <w:tcW w:w="3348" w:type="dxa"/>
                            <w:shd w:val="clear" w:color="auto" w:fill="auto"/>
                          </w:tcPr>
                          <w:p w:rsidR="00F83AE0" w:rsidRPr="009144AE" w:rsidRDefault="00F83AE0" w:rsidP="008F7A5C">
                            <w:pPr>
                              <w:widowControl w:val="0"/>
                              <w:autoSpaceDE w:val="0"/>
                              <w:autoSpaceDN w:val="0"/>
                              <w:adjustRightInd w:val="0"/>
                              <w:rPr>
                                <w:rFonts w:ascii="Calibri" w:hAnsi="Calibri" w:cs="Calibri"/>
                                <w:bCs/>
                                <w:color w:val="2F5496" w:themeColor="accent1" w:themeShade="BF"/>
                                <w:sz w:val="21"/>
                                <w:szCs w:val="21"/>
                              </w:rPr>
                            </w:pPr>
                            <w:r w:rsidRPr="009144AE">
                              <w:rPr>
                                <w:rFonts w:ascii="Calibri" w:hAnsi="Calibri" w:cs="Calibri"/>
                                <w:bCs/>
                                <w:color w:val="2F5496" w:themeColor="accent1" w:themeShade="BF"/>
                                <w:sz w:val="21"/>
                                <w:szCs w:val="21"/>
                              </w:rPr>
                              <w:t>Prisoners tested for HIV</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65%</w:t>
                            </w:r>
                          </w:p>
                        </w:tc>
                        <w:tc>
                          <w:tcPr>
                            <w:tcW w:w="135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70%</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c>
                          <w:tcPr>
                            <w:tcW w:w="1260" w:type="dxa"/>
                            <w:shd w:val="clear" w:color="auto" w:fill="auto"/>
                          </w:tcPr>
                          <w:p w:rsidR="00F83AE0" w:rsidRPr="009144AE" w:rsidRDefault="00F83AE0" w:rsidP="008F7A5C">
                            <w:pPr>
                              <w:widowControl w:val="0"/>
                              <w:autoSpaceDE w:val="0"/>
                              <w:autoSpaceDN w:val="0"/>
                              <w:adjustRightInd w:val="0"/>
                              <w:jc w:val="center"/>
                              <w:rPr>
                                <w:rFonts w:ascii="Calibri" w:hAnsi="Calibri" w:cs="Calibri"/>
                                <w:color w:val="2F5496" w:themeColor="accent1" w:themeShade="BF"/>
                                <w:sz w:val="21"/>
                                <w:szCs w:val="21"/>
                              </w:rPr>
                            </w:pPr>
                            <w:r w:rsidRPr="009144AE">
                              <w:rPr>
                                <w:rFonts w:ascii="Calibri" w:hAnsi="Calibri" w:cs="Calibri"/>
                                <w:color w:val="2F5496" w:themeColor="accent1" w:themeShade="BF"/>
                                <w:sz w:val="21"/>
                                <w:szCs w:val="21"/>
                              </w:rPr>
                              <w:t>75%</w:t>
                            </w:r>
                          </w:p>
                        </w:tc>
                      </w:tr>
                    </w:tbl>
                    <w:p w:rsidR="00F83AE0" w:rsidRPr="009144AE" w:rsidRDefault="00F83AE0">
                      <w:pPr>
                        <w:rPr>
                          <w:color w:val="2F5496" w:themeColor="accent1" w:themeShade="BF"/>
                        </w:rPr>
                      </w:pPr>
                    </w:p>
                  </w:txbxContent>
                </v:textbox>
              </v:roundrect>
            </w:pict>
          </mc:Fallback>
        </mc:AlternateContent>
      </w:r>
    </w:p>
    <w:p w:rsidR="004D09C3" w:rsidRDefault="004D09C3"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9144AE" w:rsidRDefault="009144AE" w:rsidP="00D53501">
      <w:pPr>
        <w:rPr>
          <w:rFonts w:asciiTheme="minorHAnsi" w:hAnsiTheme="minorHAnsi" w:cstheme="minorHAnsi"/>
          <w:sz w:val="22"/>
          <w:szCs w:val="22"/>
        </w:rPr>
      </w:pPr>
    </w:p>
    <w:p w:rsidR="00583B1E" w:rsidRDefault="00583B1E" w:rsidP="00A5458A">
      <w:pPr>
        <w:pStyle w:val="Default"/>
        <w:rPr>
          <w:rFonts w:asciiTheme="minorHAnsi" w:hAnsiTheme="minorHAnsi" w:cstheme="minorHAnsi"/>
          <w:sz w:val="22"/>
          <w:szCs w:val="22"/>
          <w:lang w:val="en-GB"/>
        </w:rPr>
      </w:pPr>
    </w:p>
    <w:p w:rsidR="006C3725" w:rsidRDefault="00F83AE0" w:rsidP="00DA16F8">
      <w:pPr>
        <w:pStyle w:val="Heading3"/>
        <w:rPr>
          <w:lang w:val="en-GB"/>
        </w:rPr>
      </w:pPr>
      <w:bookmarkStart w:id="15" w:name="_Toc517018619"/>
      <w:r>
        <w:rPr>
          <w:lang w:val="en-GB"/>
        </w:rPr>
        <w:t>MSM</w:t>
      </w:r>
      <w:bookmarkEnd w:id="15"/>
    </w:p>
    <w:p w:rsidR="006C3725" w:rsidRPr="006C3725" w:rsidRDefault="006C3725" w:rsidP="00DA16F8">
      <w:pPr>
        <w:rPr>
          <w:lang w:val="en-GB"/>
        </w:rPr>
      </w:pPr>
    </w:p>
    <w:p w:rsidR="003009AF" w:rsidRDefault="00F83AE0" w:rsidP="005D7BD8">
      <w:pPr>
        <w:pStyle w:val="Default"/>
        <w:rPr>
          <w:rFonts w:asciiTheme="minorHAnsi" w:hAnsiTheme="minorHAnsi" w:cstheme="minorHAnsi"/>
          <w:sz w:val="22"/>
          <w:szCs w:val="22"/>
          <w:lang w:val="en-GB"/>
        </w:rPr>
      </w:pPr>
      <w:r>
        <w:rPr>
          <w:rFonts w:asciiTheme="minorHAnsi" w:hAnsiTheme="minorHAnsi" w:cstheme="minorHAnsi"/>
          <w:sz w:val="22"/>
          <w:szCs w:val="22"/>
          <w:lang w:val="en-GB"/>
        </w:rPr>
        <w:t>Level of k</w:t>
      </w:r>
      <w:r w:rsidRPr="00024532">
        <w:rPr>
          <w:rFonts w:asciiTheme="minorHAnsi" w:hAnsiTheme="minorHAnsi" w:cstheme="minorHAnsi"/>
          <w:sz w:val="22"/>
          <w:szCs w:val="22"/>
          <w:lang w:val="en-GB"/>
        </w:rPr>
        <w:t xml:space="preserve">nowledge </w:t>
      </w:r>
      <w:r>
        <w:rPr>
          <w:rFonts w:asciiTheme="minorHAnsi" w:hAnsiTheme="minorHAnsi" w:cstheme="minorHAnsi"/>
          <w:sz w:val="22"/>
          <w:szCs w:val="22"/>
          <w:lang w:val="en-GB"/>
        </w:rPr>
        <w:t>concerning</w:t>
      </w:r>
      <w:r w:rsidRPr="00024532">
        <w:rPr>
          <w:rFonts w:asciiTheme="minorHAnsi" w:hAnsiTheme="minorHAnsi" w:cstheme="minorHAnsi"/>
          <w:sz w:val="22"/>
          <w:szCs w:val="22"/>
          <w:lang w:val="en-GB"/>
        </w:rPr>
        <w:t xml:space="preserve"> HIV infection among MSM is high and has </w:t>
      </w:r>
      <w:r>
        <w:rPr>
          <w:rFonts w:asciiTheme="minorHAnsi" w:hAnsiTheme="minorHAnsi" w:cstheme="minorHAnsi"/>
          <w:sz w:val="22"/>
          <w:szCs w:val="22"/>
          <w:lang w:val="en-GB"/>
        </w:rPr>
        <w:t xml:space="preserve">further </w:t>
      </w:r>
      <w:r w:rsidRPr="00024532">
        <w:rPr>
          <w:rFonts w:asciiTheme="minorHAnsi" w:hAnsiTheme="minorHAnsi" w:cstheme="minorHAnsi"/>
          <w:sz w:val="22"/>
          <w:szCs w:val="22"/>
          <w:lang w:val="en-GB"/>
        </w:rPr>
        <w:t xml:space="preserve">improved over the last years, but this </w:t>
      </w:r>
      <w:r>
        <w:rPr>
          <w:rFonts w:asciiTheme="minorHAnsi" w:hAnsiTheme="minorHAnsi" w:cstheme="minorHAnsi"/>
          <w:sz w:val="22"/>
          <w:szCs w:val="22"/>
          <w:lang w:val="en-GB"/>
        </w:rPr>
        <w:t xml:space="preserve">has not influenced </w:t>
      </w:r>
      <w:r w:rsidRPr="00024532">
        <w:rPr>
          <w:rFonts w:asciiTheme="minorHAnsi" w:hAnsiTheme="minorHAnsi" w:cstheme="minorHAnsi"/>
          <w:sz w:val="22"/>
          <w:szCs w:val="22"/>
          <w:lang w:val="en-GB"/>
        </w:rPr>
        <w:t xml:space="preserve">personal risk perception among MSM, as well as behavior trends. </w:t>
      </w:r>
      <w:r>
        <w:rPr>
          <w:rFonts w:asciiTheme="minorHAnsi" w:hAnsiTheme="minorHAnsi" w:cstheme="minorHAnsi"/>
          <w:sz w:val="22"/>
          <w:szCs w:val="22"/>
        </w:rPr>
        <w:t>They</w:t>
      </w:r>
      <w:r w:rsidRPr="00024532">
        <w:rPr>
          <w:rFonts w:asciiTheme="minorHAnsi" w:hAnsiTheme="minorHAnsi" w:cstheme="minorHAnsi"/>
          <w:sz w:val="22"/>
          <w:szCs w:val="22"/>
        </w:rPr>
        <w:t xml:space="preserve"> are characterized by risky sexual </w:t>
      </w:r>
      <w:r>
        <w:rPr>
          <w:rFonts w:asciiTheme="minorHAnsi" w:hAnsiTheme="minorHAnsi" w:cstheme="minorHAnsi"/>
          <w:sz w:val="22"/>
          <w:szCs w:val="22"/>
        </w:rPr>
        <w:t xml:space="preserve">behavior </w:t>
      </w:r>
      <w:r w:rsidRPr="00024532">
        <w:rPr>
          <w:rFonts w:asciiTheme="minorHAnsi" w:hAnsiTheme="minorHAnsi" w:cstheme="minorHAnsi"/>
          <w:sz w:val="22"/>
          <w:szCs w:val="22"/>
        </w:rPr>
        <w:t>with a large number of different partners, both male and female. More than half of surveyed MSM reported having a female partner during the last 12 months. The</w:t>
      </w:r>
      <w:r>
        <w:rPr>
          <w:rFonts w:asciiTheme="minorHAnsi" w:hAnsiTheme="minorHAnsi" w:cstheme="minorHAnsi"/>
          <w:sz w:val="22"/>
          <w:szCs w:val="22"/>
        </w:rPr>
        <w:t>y</w:t>
      </w:r>
      <w:r w:rsidRPr="00024532">
        <w:rPr>
          <w:rFonts w:asciiTheme="minorHAnsi" w:hAnsiTheme="minorHAnsi" w:cstheme="minorHAnsi"/>
          <w:sz w:val="22"/>
          <w:szCs w:val="22"/>
        </w:rPr>
        <w:t xml:space="preserve"> </w:t>
      </w:r>
      <w:r>
        <w:rPr>
          <w:rFonts w:asciiTheme="minorHAnsi" w:hAnsiTheme="minorHAnsi" w:cstheme="minorHAnsi"/>
          <w:sz w:val="22"/>
          <w:szCs w:val="22"/>
        </w:rPr>
        <w:t>also</w:t>
      </w:r>
      <w:r w:rsidRPr="00024532">
        <w:rPr>
          <w:rFonts w:asciiTheme="minorHAnsi" w:hAnsiTheme="minorHAnsi" w:cstheme="minorHAnsi"/>
          <w:sz w:val="22"/>
          <w:szCs w:val="22"/>
        </w:rPr>
        <w:t xml:space="preserve"> report </w:t>
      </w:r>
      <w:r w:rsidR="00DA16F8" w:rsidRPr="00024532">
        <w:rPr>
          <w:rFonts w:asciiTheme="minorHAnsi" w:hAnsiTheme="minorHAnsi" w:cstheme="minorHAnsi"/>
          <w:sz w:val="22"/>
          <w:szCs w:val="22"/>
          <w:lang w:val="en-GB"/>
        </w:rPr>
        <w:t>the i</w:t>
      </w:r>
      <w:r w:rsidR="00DA16F8">
        <w:rPr>
          <w:rFonts w:asciiTheme="minorHAnsi" w:hAnsiTheme="minorHAnsi" w:cstheme="minorHAnsi"/>
          <w:sz w:val="22"/>
          <w:szCs w:val="22"/>
          <w:lang w:val="en-GB"/>
        </w:rPr>
        <w:t>nconsistent</w:t>
      </w:r>
      <w:r w:rsidR="00DA16F8" w:rsidRPr="00024532">
        <w:rPr>
          <w:rFonts w:asciiTheme="minorHAnsi" w:hAnsiTheme="minorHAnsi" w:cstheme="minorHAnsi"/>
          <w:sz w:val="22"/>
          <w:szCs w:val="22"/>
          <w:lang w:val="en-GB"/>
        </w:rPr>
        <w:t xml:space="preserve"> </w:t>
      </w:r>
      <w:r w:rsidRPr="00024532">
        <w:rPr>
          <w:rFonts w:asciiTheme="minorHAnsi" w:hAnsiTheme="minorHAnsi" w:cstheme="minorHAnsi"/>
          <w:sz w:val="22"/>
          <w:szCs w:val="22"/>
          <w:lang w:val="en-GB"/>
        </w:rPr>
        <w:t xml:space="preserve">use of condoms, especially </w:t>
      </w:r>
      <w:r w:rsidR="00BD1E42">
        <w:rPr>
          <w:rFonts w:asciiTheme="minorHAnsi" w:hAnsiTheme="minorHAnsi" w:cstheme="minorHAnsi"/>
          <w:sz w:val="22"/>
          <w:szCs w:val="22"/>
          <w:lang w:val="en-GB"/>
        </w:rPr>
        <w:t xml:space="preserve">with </w:t>
      </w:r>
      <w:r>
        <w:rPr>
          <w:rFonts w:asciiTheme="minorHAnsi" w:hAnsiTheme="minorHAnsi" w:cstheme="minorHAnsi"/>
          <w:sz w:val="22"/>
          <w:szCs w:val="22"/>
          <w:lang w:val="en-GB"/>
        </w:rPr>
        <w:t xml:space="preserve">permanent partners (both </w:t>
      </w:r>
      <w:r w:rsidRPr="00024532">
        <w:rPr>
          <w:rFonts w:asciiTheme="minorHAnsi" w:hAnsiTheme="minorHAnsi" w:cstheme="minorHAnsi"/>
          <w:sz w:val="22"/>
          <w:szCs w:val="22"/>
          <w:lang w:val="en-GB"/>
        </w:rPr>
        <w:t>male and female</w:t>
      </w:r>
      <w:r>
        <w:rPr>
          <w:rFonts w:asciiTheme="minorHAnsi" w:hAnsiTheme="minorHAnsi" w:cstheme="minorHAnsi"/>
          <w:sz w:val="22"/>
          <w:szCs w:val="22"/>
          <w:lang w:val="en-GB"/>
        </w:rPr>
        <w:t>),</w:t>
      </w:r>
      <w:r w:rsidRPr="00024532">
        <w:rPr>
          <w:rFonts w:asciiTheme="minorHAnsi" w:hAnsiTheme="minorHAnsi" w:cstheme="minorHAnsi"/>
          <w:sz w:val="22"/>
          <w:szCs w:val="22"/>
          <w:lang w:val="en-GB"/>
        </w:rPr>
        <w:t xml:space="preserve"> as well as involvement in group sexual practices often without condoms. Awareness on places of condom and lubricants supply is high among MSM; still, the unsafe behavior is quite widespread. These tendencies are reflected in the HIV prevalence increase and, besides, raise concerns about the potential bridging role of MSM in HIV transmission to the general population.  </w:t>
      </w:r>
    </w:p>
    <w:p w:rsidR="003A13A6" w:rsidRDefault="003A13A6" w:rsidP="00A5458A">
      <w:pPr>
        <w:pStyle w:val="Default"/>
        <w:rPr>
          <w:rFonts w:asciiTheme="minorHAnsi" w:hAnsiTheme="minorHAnsi" w:cstheme="minorHAnsi"/>
          <w:sz w:val="22"/>
          <w:szCs w:val="22"/>
        </w:rPr>
      </w:pPr>
    </w:p>
    <w:p w:rsidR="002F28D4" w:rsidRDefault="00F83AE0" w:rsidP="002F28D4">
      <w:pPr>
        <w:pStyle w:val="Default"/>
        <w:rPr>
          <w:rFonts w:asciiTheme="minorHAnsi" w:hAnsiTheme="minorHAnsi" w:cstheme="minorHAnsi"/>
          <w:sz w:val="22"/>
          <w:szCs w:val="22"/>
          <w:lang w:val="en-GB"/>
        </w:rPr>
      </w:pPr>
      <w:r>
        <w:rPr>
          <w:rFonts w:asciiTheme="minorHAnsi" w:hAnsiTheme="minorHAnsi" w:cstheme="minorHAnsi"/>
          <w:sz w:val="22"/>
          <w:szCs w:val="22"/>
          <w:lang w:val="en-GB"/>
        </w:rPr>
        <w:t xml:space="preserve">Introduction of PrEP was piloted for MSM population within the frame of current TGF grant in Georgia. Uptake of services was still low at the moment of NSP development. NSP calls for expansion of PrEP and PEP, not only for MSM but PWID and SW as well. To expand the availability of PrEP and PEP, it is proposed to make them available not only at clinical settings </w:t>
      </w:r>
      <w:r>
        <w:rPr>
          <w:rFonts w:asciiTheme="minorHAnsi" w:hAnsiTheme="minorHAnsi" w:cstheme="minorHAnsi"/>
          <w:sz w:val="22"/>
          <w:szCs w:val="22"/>
        </w:rPr>
        <w:t xml:space="preserve">but also </w:t>
      </w:r>
      <w:r>
        <w:rPr>
          <w:rFonts w:asciiTheme="minorHAnsi" w:hAnsiTheme="minorHAnsi" w:cstheme="minorHAnsi"/>
          <w:sz w:val="22"/>
          <w:szCs w:val="22"/>
          <w:lang w:val="en-GB"/>
        </w:rPr>
        <w:t>at community level service points.</w:t>
      </w:r>
    </w:p>
    <w:p w:rsidR="002F28D4" w:rsidRDefault="002F28D4" w:rsidP="002F28D4">
      <w:pPr>
        <w:pStyle w:val="Default"/>
        <w:rPr>
          <w:rFonts w:asciiTheme="minorHAnsi" w:hAnsiTheme="minorHAnsi" w:cstheme="minorHAnsi"/>
          <w:sz w:val="22"/>
          <w:szCs w:val="22"/>
          <w:lang w:val="en-GB"/>
        </w:rPr>
      </w:pPr>
    </w:p>
    <w:p w:rsidR="002F28D4" w:rsidRPr="00644F82" w:rsidRDefault="00F83AE0" w:rsidP="005D7BD8">
      <w:pPr>
        <w:rPr>
          <w:rFonts w:asciiTheme="minorHAnsi" w:hAnsiTheme="minorHAnsi" w:cstheme="minorHAnsi"/>
          <w:sz w:val="22"/>
          <w:szCs w:val="22"/>
        </w:rPr>
      </w:pPr>
      <w:r w:rsidRPr="00644F82">
        <w:rPr>
          <w:rFonts w:asciiTheme="minorHAnsi" w:hAnsiTheme="minorHAnsi" w:cstheme="minorHAnsi"/>
          <w:sz w:val="22"/>
          <w:szCs w:val="22"/>
        </w:rPr>
        <w:t xml:space="preserve">For </w:t>
      </w:r>
      <w:r>
        <w:rPr>
          <w:rFonts w:asciiTheme="minorHAnsi" w:hAnsiTheme="minorHAnsi" w:cstheme="minorHAnsi"/>
          <w:sz w:val="22"/>
          <w:szCs w:val="22"/>
        </w:rPr>
        <w:t xml:space="preserve">the </w:t>
      </w:r>
      <w:r w:rsidRPr="00644F82">
        <w:rPr>
          <w:rFonts w:asciiTheme="minorHAnsi" w:hAnsiTheme="minorHAnsi" w:cstheme="minorHAnsi"/>
          <w:sz w:val="22"/>
          <w:szCs w:val="22"/>
        </w:rPr>
        <w:t>last three years, there is a tendency of decreasing knowledge level in KP's regarding HIV,"generation change might cause this," younger ones have less information not only about HIV but also where to get the information and testing. This requires attention from the NGO's that are implementing preventive programs.</w:t>
      </w:r>
    </w:p>
    <w:p w:rsidR="002F28D4" w:rsidRPr="00F4678F" w:rsidRDefault="002F28D4" w:rsidP="002F28D4">
      <w:pPr>
        <w:pStyle w:val="Default"/>
        <w:jc w:val="both"/>
        <w:rPr>
          <w:rFonts w:asciiTheme="minorHAnsi" w:hAnsiTheme="minorHAnsi" w:cstheme="minorHAnsi"/>
          <w:sz w:val="22"/>
          <w:szCs w:val="22"/>
        </w:rPr>
      </w:pPr>
    </w:p>
    <w:p w:rsidR="002F28D4" w:rsidRDefault="00F83AE0" w:rsidP="002F28D4">
      <w:pPr>
        <w:pStyle w:val="Default"/>
        <w:rPr>
          <w:rFonts w:asciiTheme="minorHAnsi" w:hAnsiTheme="minorHAnsi" w:cstheme="minorHAnsi"/>
          <w:sz w:val="22"/>
          <w:szCs w:val="22"/>
          <w:lang w:val="en-GB"/>
        </w:rPr>
      </w:pPr>
      <w:r>
        <w:rPr>
          <w:rFonts w:asciiTheme="minorHAnsi" w:hAnsiTheme="minorHAnsi" w:cstheme="minorHAnsi"/>
          <w:sz w:val="22"/>
          <w:szCs w:val="22"/>
          <w:lang w:val="en-GB"/>
        </w:rPr>
        <w:t xml:space="preserve">NSP proposes to develop and launch effective behavior change communication and counseling services for all KP's. Improvement of quality of VCT services provided might also contribute to scaling </w:t>
      </w:r>
      <w:r>
        <w:rPr>
          <w:rFonts w:asciiTheme="minorHAnsi" w:hAnsiTheme="minorHAnsi" w:cstheme="minorHAnsi"/>
          <w:sz w:val="22"/>
          <w:szCs w:val="22"/>
          <w:lang w:val="en-GB"/>
        </w:rPr>
        <w:lastRenderedPageBreak/>
        <w:t>up testing services. Introduction of self-testing and saliva testing might expand HIV-testing uptake. Georgia has to implement the system of reporting in case of self-testing so that positive cases are not lost to follow up.</w:t>
      </w:r>
    </w:p>
    <w:p w:rsidR="0082502E" w:rsidRDefault="0082502E" w:rsidP="002F28D4">
      <w:pPr>
        <w:pStyle w:val="Default"/>
        <w:rPr>
          <w:rFonts w:asciiTheme="minorHAnsi" w:hAnsiTheme="minorHAnsi" w:cstheme="minorHAnsi"/>
          <w:sz w:val="22"/>
          <w:szCs w:val="22"/>
          <w:lang w:val="en-GB"/>
        </w:rPr>
      </w:pPr>
    </w:p>
    <w:p w:rsidR="0082502E" w:rsidRPr="00C73793" w:rsidRDefault="00F83AE0" w:rsidP="002F28D4">
      <w:pPr>
        <w:pStyle w:val="Default"/>
        <w:rPr>
          <w:rFonts w:asciiTheme="minorHAnsi" w:hAnsiTheme="minorHAnsi" w:cstheme="minorHAnsi"/>
          <w:color w:val="000000" w:themeColor="text1"/>
          <w:sz w:val="22"/>
          <w:szCs w:val="22"/>
          <w:lang w:val="en-GB"/>
        </w:rPr>
      </w:pPr>
      <w:r w:rsidRPr="00427D67">
        <w:rPr>
          <w:rFonts w:asciiTheme="minorHAnsi" w:hAnsiTheme="minorHAnsi"/>
          <w:color w:val="000000" w:themeColor="text1"/>
          <w:sz w:val="22"/>
          <w:szCs w:val="22"/>
        </w:rPr>
        <w:t xml:space="preserve">To design the most effective and targeted programs a tool developed by </w:t>
      </w:r>
      <w:r w:rsidRPr="00C73793">
        <w:rPr>
          <w:rFonts w:asciiTheme="minorHAnsi" w:hAnsiTheme="minorHAnsi"/>
          <w:color w:val="000000" w:themeColor="text1"/>
          <w:sz w:val="22"/>
          <w:szCs w:val="22"/>
        </w:rPr>
        <w:t>WHO/</w:t>
      </w:r>
      <w:r w:rsidRPr="00C73793">
        <w:rPr>
          <w:rFonts w:asciiTheme="minorHAnsi" w:hAnsiTheme="minorHAnsi"/>
          <w:color w:val="000000" w:themeColor="text1"/>
          <w:sz w:val="22"/>
          <w:szCs w:val="22"/>
          <w:shd w:val="clear" w:color="auto" w:fill="FFFFFF"/>
        </w:rPr>
        <w:t>UNFPA/ UNAIDS/ NSWP/World Bank/UNDP</w:t>
      </w:r>
      <w:r>
        <w:rPr>
          <w:rStyle w:val="FootnoteReference"/>
          <w:rFonts w:asciiTheme="minorHAnsi" w:hAnsiTheme="minorHAnsi"/>
          <w:color w:val="000000" w:themeColor="text1"/>
          <w:sz w:val="22"/>
          <w:szCs w:val="22"/>
          <w:shd w:val="clear" w:color="auto" w:fill="FFFFFF"/>
        </w:rPr>
        <w:footnoteReference w:id="29"/>
      </w:r>
      <w:r w:rsidRPr="00C73793">
        <w:rPr>
          <w:rFonts w:asciiTheme="minorHAnsi" w:hAnsiTheme="minorHAnsi"/>
          <w:color w:val="000000" w:themeColor="text1"/>
          <w:sz w:val="22"/>
          <w:szCs w:val="22"/>
          <w:shd w:val="clear" w:color="auto" w:fill="FFFFFF"/>
        </w:rPr>
        <w:t xml:space="preserve"> be used.</w:t>
      </w:r>
    </w:p>
    <w:p w:rsidR="002F28D4" w:rsidRPr="002F28D4" w:rsidRDefault="002F28D4" w:rsidP="00A5458A">
      <w:pPr>
        <w:pStyle w:val="Default"/>
        <w:rPr>
          <w:rFonts w:asciiTheme="minorHAnsi" w:hAnsiTheme="minorHAnsi" w:cstheme="minorHAnsi"/>
          <w:sz w:val="22"/>
          <w:szCs w:val="22"/>
          <w:lang w:val="en-GB"/>
        </w:rPr>
      </w:pPr>
    </w:p>
    <w:p w:rsidR="00DE7E3A" w:rsidRDefault="00DE7E3A" w:rsidP="00A5458A">
      <w:pPr>
        <w:pStyle w:val="Default"/>
        <w:rPr>
          <w:rFonts w:asciiTheme="minorHAnsi" w:hAnsiTheme="minorHAnsi" w:cstheme="minorHAnsi"/>
          <w:sz w:val="22"/>
          <w:szCs w:val="22"/>
          <w:lang w:val="en-GB"/>
        </w:rPr>
      </w:pPr>
    </w:p>
    <w:p w:rsidR="00EA3FD7" w:rsidRDefault="00EA3FD7" w:rsidP="00A5458A">
      <w:pPr>
        <w:pStyle w:val="Default"/>
        <w:rPr>
          <w:rFonts w:asciiTheme="minorHAnsi" w:hAnsiTheme="minorHAnsi" w:cstheme="minorHAnsi"/>
          <w:sz w:val="22"/>
          <w:szCs w:val="22"/>
          <w:lang w:val="en-GB"/>
        </w:rPr>
      </w:pPr>
    </w:p>
    <w:p w:rsidR="00DE7E3A" w:rsidRDefault="00DE7E3A" w:rsidP="00A5458A">
      <w:pPr>
        <w:pStyle w:val="Default"/>
        <w:rPr>
          <w:rFonts w:asciiTheme="minorHAnsi" w:hAnsiTheme="minorHAnsi" w:cstheme="minorHAnsi"/>
          <w:sz w:val="22"/>
          <w:szCs w:val="22"/>
          <w:lang w:val="en-GB"/>
        </w:rPr>
      </w:pPr>
    </w:p>
    <w:p w:rsidR="00DE7E3A" w:rsidRDefault="00F83AE0" w:rsidP="00A5458A">
      <w:pPr>
        <w:pStyle w:val="Default"/>
        <w:rPr>
          <w:rFonts w:asciiTheme="minorHAnsi" w:hAnsiTheme="minorHAnsi" w:cstheme="minorHAnsi"/>
          <w:sz w:val="22"/>
          <w:szCs w:val="22"/>
          <w:lang w:val="en-GB"/>
        </w:rPr>
      </w:pPr>
      <w:r>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simplePos x="0" y="0"/>
                <wp:positionH relativeFrom="column">
                  <wp:posOffset>-62782</wp:posOffset>
                </wp:positionH>
                <wp:positionV relativeFrom="paragraph">
                  <wp:posOffset>-502838</wp:posOffset>
                </wp:positionV>
                <wp:extent cx="5888736" cy="2655417"/>
                <wp:effectExtent l="0" t="0" r="17145" b="12065"/>
                <wp:wrapNone/>
                <wp:docPr id="30" name="Text Box 30"/>
                <wp:cNvGraphicFramePr/>
                <a:graphic xmlns:a="http://schemas.openxmlformats.org/drawingml/2006/main">
                  <a:graphicData uri="http://schemas.microsoft.com/office/word/2010/wordprocessingShape">
                    <wps:wsp>
                      <wps:cNvSpPr txBox="1"/>
                      <wps:spPr>
                        <a:xfrm>
                          <a:off x="0" y="0"/>
                          <a:ext cx="5888736" cy="2655417"/>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4248"/>
                            </w:tblGrid>
                            <w:tr w:rsidR="00F83AE0" w:rsidTr="00116D84">
                              <w:trPr>
                                <w:trHeight w:val="420"/>
                              </w:trPr>
                              <w:tc>
                                <w:tcPr>
                                  <w:tcW w:w="9171" w:type="dxa"/>
                                  <w:gridSpan w:val="2"/>
                                </w:tcPr>
                                <w:p w:rsidR="00F83AE0" w:rsidRPr="00863DF1" w:rsidRDefault="00F83AE0" w:rsidP="00863DF1">
                                  <w:pPr>
                                    <w:jc w:val="center"/>
                                    <w:rPr>
                                      <w:rFonts w:asciiTheme="minorHAnsi" w:hAnsiTheme="minorHAnsi" w:cstheme="minorHAnsi"/>
                                      <w:color w:val="2F5496" w:themeColor="accent1" w:themeShade="BF"/>
                                      <w:sz w:val="18"/>
                                      <w:szCs w:val="18"/>
                                    </w:rPr>
                                  </w:pPr>
                                  <w:r w:rsidRPr="00863DF1">
                                    <w:rPr>
                                      <w:rFonts w:asciiTheme="minorHAnsi" w:hAnsiTheme="minorHAnsi" w:cstheme="minorHAnsi"/>
                                      <w:color w:val="2F5496" w:themeColor="accent1" w:themeShade="BF"/>
                                      <w:sz w:val="18"/>
                                      <w:szCs w:val="18"/>
                                    </w:rPr>
                                    <w:t>MSM</w:t>
                                  </w:r>
                                </w:p>
                                <w:p w:rsidR="00F83AE0" w:rsidRPr="00670A92" w:rsidRDefault="00F83AE0" w:rsidP="00116D84">
                                  <w:pPr>
                                    <w:pStyle w:val="Heading3"/>
                                    <w:outlineLvl w:val="2"/>
                                    <w:rPr>
                                      <w:b/>
                                      <w:color w:val="000000" w:themeColor="text1"/>
                                      <w:sz w:val="18"/>
                                      <w:szCs w:val="18"/>
                                    </w:rPr>
                                  </w:pPr>
                                </w:p>
                              </w:tc>
                            </w:tr>
                            <w:tr w:rsidR="00F83AE0" w:rsidTr="00750B5B">
                              <w:tc>
                                <w:tcPr>
                                  <w:tcW w:w="4635" w:type="dxa"/>
                                </w:tcPr>
                                <w:p w:rsidR="00F83AE0" w:rsidRPr="00116D84" w:rsidRDefault="00F83AE0" w:rsidP="00DE7E3A">
                                  <w:pPr>
                                    <w:numPr>
                                      <w:ilvl w:val="0"/>
                                      <w:numId w:val="8"/>
                                    </w:numPr>
                                    <w:ind w:left="180" w:hanging="180"/>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Increase coverage of preventive services</w:t>
                                  </w:r>
                                </w:p>
                                <w:p w:rsidR="00F83AE0" w:rsidRPr="00116D84" w:rsidRDefault="00F83AE0"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Explore the need for geographical expansion of preventive services</w:t>
                                  </w:r>
                                </w:p>
                                <w:p w:rsidR="00F83AE0" w:rsidRPr="00116D84" w:rsidRDefault="00F83AE0"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 xml:space="preserve">Increase testing coverage </w:t>
                                  </w:r>
                                </w:p>
                                <w:p w:rsidR="00F83AE0" w:rsidRPr="00116D84" w:rsidRDefault="00F83AE0"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Increase access to condoms and lubricants</w:t>
                                  </w:r>
                                </w:p>
                                <w:p w:rsidR="00F83AE0" w:rsidRPr="00116D84" w:rsidRDefault="00F83AE0"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stheme="minorHAnsi"/>
                                      <w:color w:val="2F5496" w:themeColor="accent1" w:themeShade="BF"/>
                                      <w:sz w:val="18"/>
                                      <w:szCs w:val="18"/>
                                    </w:rPr>
                                    <w:t>Behavior change communication and counseling services (</w:t>
                                  </w:r>
                                  <w:r w:rsidRPr="00116D84">
                                    <w:rPr>
                                      <w:rFonts w:asciiTheme="minorHAnsi" w:hAnsiTheme="minorHAnsi"/>
                                      <w:color w:val="2F5496" w:themeColor="accent1" w:themeShade="BF"/>
                                      <w:sz w:val="18"/>
                                      <w:szCs w:val="18"/>
                                    </w:rPr>
                                    <w:t>especially for those who are having sexual contact both with men and women,</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transgender population)</w:t>
                                  </w:r>
                                </w:p>
                                <w:p w:rsidR="00F83AE0" w:rsidRPr="00116D84" w:rsidRDefault="00F83AE0" w:rsidP="00DE7E3A">
                                  <w:pPr>
                                    <w:numPr>
                                      <w:ilvl w:val="1"/>
                                      <w:numId w:val="10"/>
                                    </w:numPr>
                                    <w:ind w:left="322" w:hanging="142"/>
                                    <w:jc w:val="both"/>
                                    <w:rPr>
                                      <w:rFonts w:asciiTheme="minorHAnsi" w:hAnsiTheme="minorHAnsi" w:cstheme="minorHAnsi"/>
                                      <w:color w:val="2F5496" w:themeColor="accent1" w:themeShade="BF"/>
                                      <w:sz w:val="18"/>
                                      <w:szCs w:val="18"/>
                                    </w:rPr>
                                  </w:pPr>
                                  <w:r w:rsidRPr="00116D84">
                                    <w:rPr>
                                      <w:rFonts w:asciiTheme="minorHAnsi" w:hAnsiTheme="minorHAnsi" w:cstheme="minorHAnsi"/>
                                      <w:color w:val="2F5496" w:themeColor="accent1" w:themeShade="BF"/>
                                      <w:sz w:val="18"/>
                                      <w:szCs w:val="18"/>
                                    </w:rPr>
                                    <w:t>TB screening questionnaire for TB diagnostics and referral for treatment</w:t>
                                  </w:r>
                                </w:p>
                                <w:p w:rsidR="00F83AE0" w:rsidRPr="00116D84" w:rsidRDefault="00F83AE0" w:rsidP="00750B5B">
                                  <w:pPr>
                                    <w:ind w:left="325"/>
                                    <w:jc w:val="both"/>
                                    <w:rPr>
                                      <w:rFonts w:asciiTheme="minorHAnsi" w:hAnsiTheme="minorHAnsi" w:cstheme="minorHAnsi"/>
                                      <w:color w:val="2F5496" w:themeColor="accent1" w:themeShade="BF"/>
                                      <w:sz w:val="20"/>
                                      <w:szCs w:val="20"/>
                                    </w:rPr>
                                  </w:pPr>
                                </w:p>
                              </w:tc>
                              <w:tc>
                                <w:tcPr>
                                  <w:tcW w:w="4536" w:type="dxa"/>
                                </w:tcPr>
                                <w:p w:rsidR="00F83AE0" w:rsidRPr="00116D84" w:rsidRDefault="00F83AE0" w:rsidP="00750B5B">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Ensure access to existing services for migrants and those involved in commercial sex</w:t>
                                  </w:r>
                                </w:p>
                                <w:p w:rsidR="00F83AE0" w:rsidRPr="00116D84" w:rsidRDefault="00F83AE0" w:rsidP="00750B5B">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Ensure integration of Hep C testing and Hepatitis B vaccination</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 xml:space="preserve">with MSM service package.  </w:t>
                                  </w:r>
                                </w:p>
                                <w:p w:rsidR="00F83AE0" w:rsidRPr="00116D84" w:rsidRDefault="00F83AE0" w:rsidP="00750B5B">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Activities against violence and improve referral</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services</w:t>
                                  </w:r>
                                </w:p>
                                <w:p w:rsidR="00F83AE0" w:rsidRPr="00116D84" w:rsidRDefault="00F83AE0" w:rsidP="00750B5B">
                                  <w:pPr>
                                    <w:numPr>
                                      <w:ilvl w:val="0"/>
                                      <w:numId w:val="9"/>
                                    </w:numPr>
                                    <w:tabs>
                                      <w:tab w:val="clear" w:pos="720"/>
                                    </w:tabs>
                                    <w:ind w:left="325"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Implementation of self-testing based on newly developed protocol according to WHO recommendations</w:t>
                                  </w:r>
                                </w:p>
                                <w:p w:rsidR="00F83AE0" w:rsidRPr="00116D84" w:rsidRDefault="00F83AE0"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sidRPr="00116D84">
                                    <w:rPr>
                                      <w:rFonts w:asciiTheme="minorHAnsi" w:hAnsiTheme="minorHAnsi" w:cstheme="minorHAnsi"/>
                                      <w:color w:val="2F5496" w:themeColor="accent1" w:themeShade="BF"/>
                                      <w:sz w:val="18"/>
                                      <w:szCs w:val="18"/>
                                    </w:rPr>
                                    <w:t>Improve access for MSM to Post Exposure Prophylaxis (make PEP available at community level/service points);</w:t>
                                  </w:r>
                                </w:p>
                                <w:p w:rsidR="00F83AE0" w:rsidRPr="00116D84" w:rsidRDefault="00F83AE0"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sidRPr="00116D84">
                                    <w:rPr>
                                      <w:rFonts w:asciiTheme="minorHAnsi" w:hAnsiTheme="minorHAnsi" w:cstheme="minorHAnsi"/>
                                      <w:color w:val="2F5496" w:themeColor="accent1" w:themeShade="BF"/>
                                      <w:sz w:val="18"/>
                                      <w:szCs w:val="18"/>
                                    </w:rPr>
                                    <w:t>Improve access to mental health services</w:t>
                                  </w:r>
                                </w:p>
                                <w:p w:rsidR="00F83AE0" w:rsidRPr="00116D84" w:rsidRDefault="00F83AE0" w:rsidP="00750B5B">
                                  <w:pPr>
                                    <w:ind w:left="180"/>
                                    <w:rPr>
                                      <w:rFonts w:asciiTheme="minorHAnsi" w:hAnsiTheme="minorHAnsi"/>
                                      <w:color w:val="2F5496" w:themeColor="accent1" w:themeShade="BF"/>
                                      <w:sz w:val="18"/>
                                      <w:szCs w:val="18"/>
                                    </w:rPr>
                                  </w:pPr>
                                  <w:r w:rsidRPr="00116D84">
                                    <w:rPr>
                                      <w:rFonts w:asciiTheme="minorHAnsi" w:hAnsiTheme="minorHAnsi" w:cstheme="minorHAnsi"/>
                                      <w:color w:val="2F5496" w:themeColor="accent1" w:themeShade="BF"/>
                                      <w:sz w:val="18"/>
                                      <w:szCs w:val="18"/>
                                    </w:rPr>
                                    <w:t>PrEP expansion</w:t>
                                  </w:r>
                                </w:p>
                              </w:tc>
                            </w:tr>
                            <w:tr w:rsidR="00F83AE0" w:rsidTr="00750B5B">
                              <w:tc>
                                <w:tcPr>
                                  <w:tcW w:w="4635" w:type="dxa"/>
                                </w:tcPr>
                                <w:p w:rsidR="00F83AE0" w:rsidRPr="00116D84" w:rsidRDefault="00F83AE0" w:rsidP="00DE7E3A">
                                  <w:pPr>
                                    <w:numPr>
                                      <w:ilvl w:val="0"/>
                                      <w:numId w:val="8"/>
                                    </w:numPr>
                                    <w:ind w:left="180" w:hanging="180"/>
                                    <w:rPr>
                                      <w:rFonts w:asciiTheme="minorHAnsi" w:hAnsiTheme="minorHAnsi"/>
                                      <w:color w:val="2F5496" w:themeColor="accent1" w:themeShade="BF"/>
                                      <w:sz w:val="18"/>
                                      <w:szCs w:val="18"/>
                                    </w:rPr>
                                  </w:pPr>
                                </w:p>
                              </w:tc>
                              <w:tc>
                                <w:tcPr>
                                  <w:tcW w:w="4536" w:type="dxa"/>
                                </w:tcPr>
                                <w:p w:rsidR="00F83AE0" w:rsidRPr="00116D84" w:rsidRDefault="00F83AE0" w:rsidP="00444471">
                                  <w:pPr>
                                    <w:numPr>
                                      <w:ilvl w:val="0"/>
                                      <w:numId w:val="9"/>
                                    </w:numPr>
                                    <w:ind w:left="408" w:hanging="408"/>
                                    <w:rPr>
                                      <w:rFonts w:asciiTheme="minorHAnsi" w:hAnsiTheme="minorHAnsi"/>
                                      <w:color w:val="2F5496" w:themeColor="accent1" w:themeShade="BF"/>
                                      <w:sz w:val="18"/>
                                      <w:szCs w:val="18"/>
                                    </w:rPr>
                                  </w:pPr>
                                </w:p>
                              </w:tc>
                            </w:tr>
                          </w:tbl>
                          <w:p w:rsidR="00F83AE0" w:rsidRDefault="00F83AE0"/>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Text Box 30" o:spid="_x0000_s1029" style="position:absolute;margin-left:-4.95pt;margin-top:-39.6pt;width:463.7pt;height:20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" fillcolor="white [3201]" strokecolor="#5b9bd5 [3208]" strokeweight="1pt">
                <v:stroke joinstyle="miter"/>
                <v:textbo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4248"/>
                      </w:tblGrid>
                      <w:tr w:rsidR="00F83AE0" w:rsidTr="00116D84">
                        <w:trPr>
                          <w:trHeight w:val="420"/>
                        </w:trPr>
                        <w:tc>
                          <w:tcPr>
                            <w:tcW w:w="9171" w:type="dxa"/>
                            <w:gridSpan w:val="2"/>
                          </w:tcPr>
                          <w:p w:rsidR="00F83AE0" w:rsidRPr="00863DF1" w:rsidRDefault="00F83AE0" w:rsidP="00863DF1">
                            <w:pPr>
                              <w:jc w:val="center"/>
                              <w:rPr>
                                <w:rFonts w:asciiTheme="minorHAnsi" w:hAnsiTheme="minorHAnsi" w:cstheme="minorHAnsi"/>
                                <w:color w:val="2F5496" w:themeColor="accent1" w:themeShade="BF"/>
                                <w:sz w:val="18"/>
                                <w:szCs w:val="18"/>
                              </w:rPr>
                            </w:pPr>
                            <w:r w:rsidRPr="00863DF1">
                              <w:rPr>
                                <w:rFonts w:asciiTheme="minorHAnsi" w:hAnsiTheme="minorHAnsi" w:cstheme="minorHAnsi"/>
                                <w:color w:val="2F5496" w:themeColor="accent1" w:themeShade="BF"/>
                                <w:sz w:val="18"/>
                                <w:szCs w:val="18"/>
                              </w:rPr>
                              <w:t>MSM</w:t>
                            </w:r>
                          </w:p>
                          <w:p w:rsidR="00F83AE0" w:rsidRPr="00670A92" w:rsidRDefault="00F83AE0" w:rsidP="00116D84">
                            <w:pPr>
                              <w:pStyle w:val="Heading3"/>
                              <w:outlineLvl w:val="2"/>
                              <w:rPr>
                                <w:b/>
                                <w:color w:val="000000" w:themeColor="text1"/>
                                <w:sz w:val="18"/>
                                <w:szCs w:val="18"/>
                              </w:rPr>
                            </w:pPr>
                          </w:p>
                        </w:tc>
                      </w:tr>
                      <w:tr w:rsidR="00F83AE0" w:rsidTr="00750B5B">
                        <w:tc>
                          <w:tcPr>
                            <w:tcW w:w="4635" w:type="dxa"/>
                          </w:tcPr>
                          <w:p w:rsidR="00F83AE0" w:rsidRPr="00116D84" w:rsidRDefault="00F83AE0" w:rsidP="00DE7E3A">
                            <w:pPr>
                              <w:numPr>
                                <w:ilvl w:val="0"/>
                                <w:numId w:val="8"/>
                              </w:numPr>
                              <w:ind w:left="180" w:hanging="180"/>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Increase coverage of preventive services</w:t>
                            </w:r>
                          </w:p>
                          <w:p w:rsidR="00F83AE0" w:rsidRPr="00116D84" w:rsidRDefault="00F83AE0"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Explore the need for geographical expansion of preventive services</w:t>
                            </w:r>
                          </w:p>
                          <w:p w:rsidR="00F83AE0" w:rsidRPr="00116D84" w:rsidRDefault="00F83AE0"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 xml:space="preserve">Increase testing coverage </w:t>
                            </w:r>
                          </w:p>
                          <w:p w:rsidR="00F83AE0" w:rsidRPr="00116D84" w:rsidRDefault="00F83AE0"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Increase access to condoms and lubricants</w:t>
                            </w:r>
                          </w:p>
                          <w:p w:rsidR="00F83AE0" w:rsidRPr="00116D84" w:rsidRDefault="00F83AE0" w:rsidP="00DE7E3A">
                            <w:pPr>
                              <w:numPr>
                                <w:ilvl w:val="1"/>
                                <w:numId w:val="10"/>
                              </w:numPr>
                              <w:ind w:left="322" w:hanging="142"/>
                              <w:rPr>
                                <w:rFonts w:asciiTheme="minorHAnsi" w:hAnsiTheme="minorHAnsi"/>
                                <w:color w:val="2F5496" w:themeColor="accent1" w:themeShade="BF"/>
                                <w:sz w:val="18"/>
                                <w:szCs w:val="18"/>
                              </w:rPr>
                            </w:pPr>
                            <w:r w:rsidRPr="00116D84">
                              <w:rPr>
                                <w:rFonts w:asciiTheme="minorHAnsi" w:hAnsiTheme="minorHAnsi" w:cstheme="minorHAnsi"/>
                                <w:color w:val="2F5496" w:themeColor="accent1" w:themeShade="BF"/>
                                <w:sz w:val="18"/>
                                <w:szCs w:val="18"/>
                              </w:rPr>
                              <w:t>Behavior change communication and counseling services (</w:t>
                            </w:r>
                            <w:r w:rsidRPr="00116D84">
                              <w:rPr>
                                <w:rFonts w:asciiTheme="minorHAnsi" w:hAnsiTheme="minorHAnsi"/>
                                <w:color w:val="2F5496" w:themeColor="accent1" w:themeShade="BF"/>
                                <w:sz w:val="18"/>
                                <w:szCs w:val="18"/>
                              </w:rPr>
                              <w:t>especially for those who are having sexual contact both with men and women,</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transgender population)</w:t>
                            </w:r>
                          </w:p>
                          <w:p w:rsidR="00F83AE0" w:rsidRPr="00116D84" w:rsidRDefault="00F83AE0" w:rsidP="00DE7E3A">
                            <w:pPr>
                              <w:numPr>
                                <w:ilvl w:val="1"/>
                                <w:numId w:val="10"/>
                              </w:numPr>
                              <w:ind w:left="322" w:hanging="142"/>
                              <w:jc w:val="both"/>
                              <w:rPr>
                                <w:rFonts w:asciiTheme="minorHAnsi" w:hAnsiTheme="minorHAnsi" w:cstheme="minorHAnsi"/>
                                <w:color w:val="2F5496" w:themeColor="accent1" w:themeShade="BF"/>
                                <w:sz w:val="18"/>
                                <w:szCs w:val="18"/>
                              </w:rPr>
                            </w:pPr>
                            <w:r w:rsidRPr="00116D84">
                              <w:rPr>
                                <w:rFonts w:asciiTheme="minorHAnsi" w:hAnsiTheme="minorHAnsi" w:cstheme="minorHAnsi"/>
                                <w:color w:val="2F5496" w:themeColor="accent1" w:themeShade="BF"/>
                                <w:sz w:val="18"/>
                                <w:szCs w:val="18"/>
                              </w:rPr>
                              <w:t>TB screening questionnaire for TB diagnostics and referral for treatment</w:t>
                            </w:r>
                          </w:p>
                          <w:p w:rsidR="00F83AE0" w:rsidRPr="00116D84" w:rsidRDefault="00F83AE0" w:rsidP="00750B5B">
                            <w:pPr>
                              <w:ind w:left="325"/>
                              <w:jc w:val="both"/>
                              <w:rPr>
                                <w:rFonts w:asciiTheme="minorHAnsi" w:hAnsiTheme="minorHAnsi" w:cstheme="minorHAnsi"/>
                                <w:color w:val="2F5496" w:themeColor="accent1" w:themeShade="BF"/>
                                <w:sz w:val="20"/>
                                <w:szCs w:val="20"/>
                              </w:rPr>
                            </w:pPr>
                          </w:p>
                        </w:tc>
                        <w:tc>
                          <w:tcPr>
                            <w:tcW w:w="4536" w:type="dxa"/>
                          </w:tcPr>
                          <w:p w:rsidR="00F83AE0" w:rsidRPr="00116D84" w:rsidRDefault="00F83AE0" w:rsidP="00750B5B">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Ensure access to existing services for migrants and those involved in commercial sex</w:t>
                            </w:r>
                          </w:p>
                          <w:p w:rsidR="00F83AE0" w:rsidRPr="00116D84" w:rsidRDefault="00F83AE0" w:rsidP="00750B5B">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Ensure integration of Hep C testing and Hepatitis B vaccination</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 xml:space="preserve">with MSM service package.  </w:t>
                            </w:r>
                          </w:p>
                          <w:p w:rsidR="00F83AE0" w:rsidRPr="00116D84" w:rsidRDefault="00F83AE0" w:rsidP="00750B5B">
                            <w:pPr>
                              <w:numPr>
                                <w:ilvl w:val="0"/>
                                <w:numId w:val="9"/>
                              </w:numPr>
                              <w:ind w:left="322"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Activities against violence and improve referral</w:t>
                            </w:r>
                            <w:r w:rsidRPr="00116D84">
                              <w:rPr>
                                <w:rFonts w:asciiTheme="minorHAnsi" w:hAnsiTheme="minorHAnsi"/>
                                <w:color w:val="2F5496" w:themeColor="accent1" w:themeShade="BF"/>
                              </w:rPr>
                              <w:t xml:space="preserve"> </w:t>
                            </w:r>
                            <w:r w:rsidRPr="00116D84">
                              <w:rPr>
                                <w:rFonts w:asciiTheme="minorHAnsi" w:hAnsiTheme="minorHAnsi"/>
                                <w:color w:val="2F5496" w:themeColor="accent1" w:themeShade="BF"/>
                                <w:sz w:val="18"/>
                                <w:szCs w:val="18"/>
                              </w:rPr>
                              <w:t>services</w:t>
                            </w:r>
                          </w:p>
                          <w:p w:rsidR="00F83AE0" w:rsidRPr="00116D84" w:rsidRDefault="00F83AE0" w:rsidP="00750B5B">
                            <w:pPr>
                              <w:numPr>
                                <w:ilvl w:val="0"/>
                                <w:numId w:val="9"/>
                              </w:numPr>
                              <w:tabs>
                                <w:tab w:val="clear" w:pos="720"/>
                              </w:tabs>
                              <w:ind w:left="325" w:hanging="283"/>
                              <w:rPr>
                                <w:rFonts w:asciiTheme="minorHAnsi" w:hAnsiTheme="minorHAnsi"/>
                                <w:color w:val="2F5496" w:themeColor="accent1" w:themeShade="BF"/>
                                <w:sz w:val="18"/>
                                <w:szCs w:val="18"/>
                              </w:rPr>
                            </w:pPr>
                            <w:r w:rsidRPr="00116D84">
                              <w:rPr>
                                <w:rFonts w:asciiTheme="minorHAnsi" w:hAnsiTheme="minorHAnsi"/>
                                <w:color w:val="2F5496" w:themeColor="accent1" w:themeShade="BF"/>
                                <w:sz w:val="18"/>
                                <w:szCs w:val="18"/>
                              </w:rPr>
                              <w:t>Implementation of self-testing based on newly developed protocol according to WHO recommendations</w:t>
                            </w:r>
                          </w:p>
                          <w:p w:rsidR="00F83AE0" w:rsidRPr="00116D84" w:rsidRDefault="00F83AE0"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sidRPr="00116D84">
                              <w:rPr>
                                <w:rFonts w:asciiTheme="minorHAnsi" w:hAnsiTheme="minorHAnsi" w:cstheme="minorHAnsi"/>
                                <w:color w:val="2F5496" w:themeColor="accent1" w:themeShade="BF"/>
                                <w:sz w:val="18"/>
                                <w:szCs w:val="18"/>
                              </w:rPr>
                              <w:t>Improve access for MSM to Post Exposure Prophylaxis (make PEP available at community level/service points);</w:t>
                            </w:r>
                          </w:p>
                          <w:p w:rsidR="00F83AE0" w:rsidRPr="00116D84" w:rsidRDefault="00F83AE0" w:rsidP="00750B5B">
                            <w:pPr>
                              <w:numPr>
                                <w:ilvl w:val="0"/>
                                <w:numId w:val="9"/>
                              </w:numPr>
                              <w:tabs>
                                <w:tab w:val="clear" w:pos="720"/>
                              </w:tabs>
                              <w:ind w:left="325" w:hanging="283"/>
                              <w:jc w:val="both"/>
                              <w:rPr>
                                <w:rFonts w:asciiTheme="minorHAnsi" w:hAnsiTheme="minorHAnsi" w:cstheme="minorHAnsi"/>
                                <w:color w:val="2F5496" w:themeColor="accent1" w:themeShade="BF"/>
                                <w:sz w:val="18"/>
                                <w:szCs w:val="18"/>
                              </w:rPr>
                            </w:pPr>
                            <w:r w:rsidRPr="00116D84">
                              <w:rPr>
                                <w:rFonts w:asciiTheme="minorHAnsi" w:hAnsiTheme="minorHAnsi" w:cstheme="minorHAnsi"/>
                                <w:color w:val="2F5496" w:themeColor="accent1" w:themeShade="BF"/>
                                <w:sz w:val="18"/>
                                <w:szCs w:val="18"/>
                              </w:rPr>
                              <w:t>Improve access to mental health services</w:t>
                            </w:r>
                          </w:p>
                          <w:p w:rsidR="00F83AE0" w:rsidRPr="00116D84" w:rsidRDefault="00F83AE0" w:rsidP="00750B5B">
                            <w:pPr>
                              <w:ind w:left="180"/>
                              <w:rPr>
                                <w:rFonts w:asciiTheme="minorHAnsi" w:hAnsiTheme="minorHAnsi"/>
                                <w:color w:val="2F5496" w:themeColor="accent1" w:themeShade="BF"/>
                                <w:sz w:val="18"/>
                                <w:szCs w:val="18"/>
                              </w:rPr>
                            </w:pPr>
                            <w:r w:rsidRPr="00116D84">
                              <w:rPr>
                                <w:rFonts w:asciiTheme="minorHAnsi" w:hAnsiTheme="minorHAnsi" w:cstheme="minorHAnsi"/>
                                <w:color w:val="2F5496" w:themeColor="accent1" w:themeShade="BF"/>
                                <w:sz w:val="18"/>
                                <w:szCs w:val="18"/>
                              </w:rPr>
                              <w:t>PrEP expansion</w:t>
                            </w:r>
                          </w:p>
                        </w:tc>
                      </w:tr>
                      <w:tr w:rsidR="00F83AE0" w:rsidTr="00750B5B">
                        <w:tc>
                          <w:tcPr>
                            <w:tcW w:w="4635" w:type="dxa"/>
                          </w:tcPr>
                          <w:p w:rsidR="00F83AE0" w:rsidRPr="00116D84" w:rsidRDefault="00F83AE0" w:rsidP="00DE7E3A">
                            <w:pPr>
                              <w:numPr>
                                <w:ilvl w:val="0"/>
                                <w:numId w:val="8"/>
                              </w:numPr>
                              <w:ind w:left="180" w:hanging="180"/>
                              <w:rPr>
                                <w:rFonts w:asciiTheme="minorHAnsi" w:hAnsiTheme="minorHAnsi"/>
                                <w:color w:val="2F5496" w:themeColor="accent1" w:themeShade="BF"/>
                                <w:sz w:val="18"/>
                                <w:szCs w:val="18"/>
                              </w:rPr>
                            </w:pPr>
                          </w:p>
                        </w:tc>
                        <w:tc>
                          <w:tcPr>
                            <w:tcW w:w="4536" w:type="dxa"/>
                          </w:tcPr>
                          <w:p w:rsidR="00F83AE0" w:rsidRPr="00116D84" w:rsidRDefault="00F83AE0" w:rsidP="00444471">
                            <w:pPr>
                              <w:numPr>
                                <w:ilvl w:val="0"/>
                                <w:numId w:val="9"/>
                              </w:numPr>
                              <w:ind w:left="408" w:hanging="408"/>
                              <w:rPr>
                                <w:rFonts w:asciiTheme="minorHAnsi" w:hAnsiTheme="minorHAnsi"/>
                                <w:color w:val="2F5496" w:themeColor="accent1" w:themeShade="BF"/>
                                <w:sz w:val="18"/>
                                <w:szCs w:val="18"/>
                              </w:rPr>
                            </w:pPr>
                          </w:p>
                        </w:tc>
                      </w:tr>
                    </w:tbl>
                    <w:p w:rsidR="00F83AE0" w:rsidRDefault="00F83AE0"/>
                  </w:txbxContent>
                </v:textbox>
              </v:roundrect>
            </w:pict>
          </mc:Fallback>
        </mc:AlternateContent>
      </w:r>
    </w:p>
    <w:p w:rsidR="00DE7E3A" w:rsidRDefault="00DE7E3A" w:rsidP="00A5458A">
      <w:pPr>
        <w:pStyle w:val="Default"/>
        <w:rPr>
          <w:rFonts w:asciiTheme="minorHAnsi" w:hAnsiTheme="minorHAnsi" w:cstheme="minorHAnsi"/>
          <w:sz w:val="22"/>
          <w:szCs w:val="22"/>
          <w:lang w:val="en-GB"/>
        </w:rPr>
      </w:pPr>
    </w:p>
    <w:p w:rsidR="00DE7E3A" w:rsidRDefault="00DE7E3A" w:rsidP="00A5458A">
      <w:pPr>
        <w:pStyle w:val="Default"/>
        <w:rPr>
          <w:rFonts w:asciiTheme="minorHAnsi" w:hAnsiTheme="minorHAnsi" w:cstheme="minorHAnsi"/>
          <w:sz w:val="22"/>
          <w:szCs w:val="22"/>
          <w:lang w:val="en-GB"/>
        </w:rPr>
      </w:pPr>
    </w:p>
    <w:p w:rsidR="00DE7E3A" w:rsidRDefault="00DE7E3A" w:rsidP="00A5458A">
      <w:pPr>
        <w:pStyle w:val="Default"/>
        <w:rPr>
          <w:rFonts w:asciiTheme="minorHAnsi" w:hAnsiTheme="minorHAnsi" w:cstheme="minorHAnsi"/>
          <w:sz w:val="22"/>
          <w:szCs w:val="22"/>
          <w:lang w:val="en-GB"/>
        </w:rPr>
      </w:pPr>
    </w:p>
    <w:p w:rsidR="00DE7E3A" w:rsidRDefault="00DE7E3A" w:rsidP="00A5458A">
      <w:pPr>
        <w:pStyle w:val="Default"/>
        <w:rPr>
          <w:rFonts w:asciiTheme="minorHAnsi" w:hAnsiTheme="minorHAnsi" w:cstheme="minorHAnsi"/>
          <w:sz w:val="22"/>
          <w:szCs w:val="22"/>
          <w:lang w:val="en-GB"/>
        </w:rPr>
      </w:pPr>
    </w:p>
    <w:p w:rsidR="00DE7E3A" w:rsidRDefault="00DE7E3A" w:rsidP="00A5458A">
      <w:pPr>
        <w:pStyle w:val="Default"/>
        <w:rPr>
          <w:rFonts w:asciiTheme="minorHAnsi" w:hAnsiTheme="minorHAnsi" w:cstheme="minorHAnsi"/>
          <w:sz w:val="22"/>
          <w:szCs w:val="22"/>
          <w:lang w:val="en-GB"/>
        </w:rPr>
      </w:pPr>
    </w:p>
    <w:p w:rsidR="00DE7E3A" w:rsidRDefault="00DE7E3A" w:rsidP="00A5458A">
      <w:pPr>
        <w:pStyle w:val="Default"/>
        <w:rPr>
          <w:rFonts w:asciiTheme="minorHAnsi" w:hAnsiTheme="minorHAnsi" w:cstheme="minorHAnsi"/>
          <w:sz w:val="22"/>
          <w:szCs w:val="22"/>
          <w:lang w:val="en-GB"/>
        </w:rPr>
      </w:pPr>
    </w:p>
    <w:p w:rsidR="00DE7E3A" w:rsidRDefault="00DE7E3A" w:rsidP="00A5458A">
      <w:pPr>
        <w:pStyle w:val="Default"/>
        <w:rPr>
          <w:rFonts w:asciiTheme="minorHAnsi" w:hAnsiTheme="minorHAnsi" w:cstheme="minorHAnsi"/>
          <w:sz w:val="22"/>
          <w:szCs w:val="22"/>
          <w:lang w:val="en-GB"/>
        </w:rPr>
      </w:pPr>
    </w:p>
    <w:p w:rsidR="00857BCB" w:rsidRDefault="00857BCB" w:rsidP="00902EB1">
      <w:pPr>
        <w:pStyle w:val="Heading3"/>
        <w:rPr>
          <w:lang w:val="en-GB"/>
        </w:rPr>
      </w:pPr>
    </w:p>
    <w:p w:rsidR="00857BCB" w:rsidRDefault="00857BCB" w:rsidP="00902EB1">
      <w:pPr>
        <w:pStyle w:val="Heading3"/>
        <w:rPr>
          <w:lang w:val="en-GB"/>
        </w:rPr>
      </w:pPr>
    </w:p>
    <w:p w:rsidR="00857BCB" w:rsidRDefault="00857BCB" w:rsidP="00902EB1">
      <w:pPr>
        <w:pStyle w:val="Heading3"/>
        <w:rPr>
          <w:lang w:val="en-GB"/>
        </w:rPr>
      </w:pPr>
    </w:p>
    <w:p w:rsidR="00857BCB" w:rsidRDefault="00857BCB" w:rsidP="00902EB1">
      <w:pPr>
        <w:pStyle w:val="Heading3"/>
        <w:rPr>
          <w:lang w:val="en-GB"/>
        </w:rPr>
      </w:pPr>
    </w:p>
    <w:p w:rsidR="00857BCB" w:rsidRDefault="00857BCB" w:rsidP="00902EB1">
      <w:pPr>
        <w:pStyle w:val="Heading3"/>
        <w:rPr>
          <w:lang w:val="en-GB"/>
        </w:rPr>
      </w:pPr>
    </w:p>
    <w:p w:rsidR="00DE7E3A" w:rsidRDefault="00F83AE0" w:rsidP="00902EB1">
      <w:pPr>
        <w:pStyle w:val="Heading3"/>
        <w:rPr>
          <w:lang w:val="en-GB"/>
        </w:rPr>
      </w:pPr>
      <w:bookmarkStart w:id="16" w:name="_Toc517018620"/>
      <w:r>
        <w:rPr>
          <w:lang w:val="en-GB"/>
        </w:rPr>
        <w:t>PWID</w:t>
      </w:r>
      <w:bookmarkEnd w:id="16"/>
    </w:p>
    <w:p w:rsidR="00DE7E3A" w:rsidRDefault="00DE7E3A" w:rsidP="00A5458A">
      <w:pPr>
        <w:pStyle w:val="Default"/>
        <w:rPr>
          <w:rFonts w:asciiTheme="minorHAnsi" w:hAnsiTheme="minorHAnsi" w:cstheme="minorHAnsi"/>
          <w:sz w:val="22"/>
          <w:szCs w:val="22"/>
          <w:lang w:val="en-GB"/>
        </w:rPr>
      </w:pPr>
    </w:p>
    <w:p w:rsidR="00A31BA2" w:rsidRDefault="00F83AE0" w:rsidP="005D7BD8">
      <w:pPr>
        <w:pStyle w:val="Default"/>
        <w:rPr>
          <w:rFonts w:asciiTheme="minorHAnsi" w:hAnsiTheme="minorHAnsi" w:cstheme="minorHAnsi"/>
          <w:sz w:val="22"/>
          <w:szCs w:val="22"/>
        </w:rPr>
      </w:pPr>
      <w:r>
        <w:rPr>
          <w:rFonts w:asciiTheme="minorHAnsi" w:hAnsiTheme="minorHAnsi" w:cstheme="minorHAnsi"/>
          <w:sz w:val="22"/>
          <w:szCs w:val="22"/>
          <w:lang w:val="en-GB"/>
        </w:rPr>
        <w:t xml:space="preserve">Strategic Plan calls for inclusion of mental health services in harm reduction programs. </w:t>
      </w:r>
      <w:r>
        <w:rPr>
          <w:lang w:val="en-GB"/>
        </w:rPr>
        <w:t xml:space="preserve"> </w:t>
      </w:r>
      <w:r w:rsidRPr="00F4678F">
        <w:rPr>
          <w:rFonts w:asciiTheme="minorHAnsi" w:hAnsiTheme="minorHAnsi" w:cstheme="minorHAnsi"/>
          <w:sz w:val="22"/>
          <w:szCs w:val="22"/>
        </w:rPr>
        <w:t xml:space="preserve">Scaling up </w:t>
      </w:r>
      <w:r w:rsidRPr="00F4678F">
        <w:rPr>
          <w:rFonts w:asciiTheme="minorHAnsi" w:hAnsiTheme="minorHAnsi" w:cstheme="minorHAnsi"/>
          <w:iCs/>
          <w:sz w:val="22"/>
          <w:szCs w:val="22"/>
        </w:rPr>
        <w:t>Opioid Substitution Therapy</w:t>
      </w:r>
      <w:r w:rsidRPr="00F4678F">
        <w:rPr>
          <w:rFonts w:asciiTheme="minorHAnsi" w:hAnsiTheme="minorHAnsi" w:cstheme="minorHAnsi"/>
          <w:i/>
          <w:iCs/>
          <w:sz w:val="22"/>
          <w:szCs w:val="22"/>
        </w:rPr>
        <w:t xml:space="preserve"> </w:t>
      </w:r>
      <w:r w:rsidRPr="00F4678F">
        <w:rPr>
          <w:rFonts w:asciiTheme="minorHAnsi" w:hAnsiTheme="minorHAnsi" w:cstheme="minorHAnsi"/>
          <w:sz w:val="22"/>
          <w:szCs w:val="22"/>
        </w:rPr>
        <w:t xml:space="preserve">(OST) for PWIDs. Higher utilization of HIV prevention benefits offered by opioid substitution maintenance and other treatment and rehabilitation options will be achieved through gradual increase in the capacity of service delivery system, improvements in service quality (including revision of the current dosing and other regulations), targeted promotion of OST services, strengthened psychosocial support of OST patients, improved accessibility of services for disadvantaged patients, accommodating the needs of women, and introduction of long-term OST in penitentiary institutions. </w:t>
      </w:r>
      <w:r>
        <w:rPr>
          <w:rFonts w:asciiTheme="minorHAnsi" w:hAnsiTheme="minorHAnsi" w:cstheme="minorHAnsi"/>
          <w:sz w:val="22"/>
          <w:szCs w:val="22"/>
        </w:rPr>
        <w:t xml:space="preserve">For women, adolescents and young people who inject drugs, reproductive health services also should be offered at service points. </w:t>
      </w:r>
    </w:p>
    <w:p w:rsidR="00A31BA2" w:rsidRDefault="00A31BA2" w:rsidP="00EA3FD7">
      <w:pPr>
        <w:pStyle w:val="Default"/>
        <w:rPr>
          <w:rFonts w:asciiTheme="minorHAnsi" w:hAnsiTheme="minorHAnsi" w:cstheme="minorHAnsi"/>
          <w:sz w:val="22"/>
          <w:szCs w:val="22"/>
        </w:rPr>
      </w:pPr>
    </w:p>
    <w:p w:rsidR="00EA3FD7" w:rsidRDefault="00F83AE0" w:rsidP="00EA3FD7">
      <w:pPr>
        <w:pStyle w:val="Default"/>
        <w:rPr>
          <w:rFonts w:asciiTheme="minorHAnsi" w:hAnsiTheme="minorHAnsi" w:cstheme="minorHAnsi"/>
          <w:sz w:val="22"/>
          <w:szCs w:val="22"/>
        </w:rPr>
      </w:pPr>
      <w:r>
        <w:rPr>
          <w:rFonts w:asciiTheme="minorHAnsi" w:hAnsiTheme="minorHAnsi" w:cstheme="minorHAnsi"/>
          <w:sz w:val="22"/>
          <w:szCs w:val="22"/>
        </w:rPr>
        <w:t>Peer support programs prove to be effective. In case of Georgia, it is envisioned that peers might be effectively used to optimize the case finding. For this</w:t>
      </w:r>
      <w:r w:rsidR="00EF0652">
        <w:rPr>
          <w:rFonts w:asciiTheme="minorHAnsi" w:hAnsiTheme="minorHAnsi" w:cstheme="minorHAnsi"/>
          <w:sz w:val="22"/>
          <w:szCs w:val="22"/>
        </w:rPr>
        <w:t xml:space="preserve"> purpose,</w:t>
      </w:r>
      <w:r>
        <w:rPr>
          <w:rFonts w:asciiTheme="minorHAnsi" w:hAnsiTheme="minorHAnsi" w:cstheme="minorHAnsi"/>
          <w:sz w:val="22"/>
          <w:szCs w:val="22"/>
        </w:rPr>
        <w:t xml:space="preserve"> people who will be involved in program implementation will be incentivized for every positive case identified with their support and involvement. </w:t>
      </w:r>
    </w:p>
    <w:p w:rsidR="0016242B" w:rsidRDefault="0016242B" w:rsidP="00EA3FD7">
      <w:pPr>
        <w:pStyle w:val="Default"/>
        <w:rPr>
          <w:rFonts w:asciiTheme="minorHAnsi" w:hAnsiTheme="minorHAnsi" w:cstheme="minorHAnsi"/>
          <w:sz w:val="22"/>
          <w:szCs w:val="22"/>
        </w:rPr>
      </w:pPr>
    </w:p>
    <w:p w:rsidR="0016242B" w:rsidRDefault="00F83AE0" w:rsidP="0016242B">
      <w:pPr>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Georgia strives to employ innovative strategies to scale-up coverage of PWIDs and other vulnerable groups with prevention services. One of the innovations might be the introduction of Syringe Vending Machines (SVM) in Georgia that proved to be an effective mode of HR service delivery</w:t>
      </w:r>
      <w:r>
        <w:rPr>
          <w:rFonts w:ascii="Sylfaen" w:hAnsi="Sylfaen" w:cstheme="minorHAnsi"/>
          <w:color w:val="222222"/>
          <w:sz w:val="22"/>
          <w:szCs w:val="22"/>
          <w:shd w:val="clear" w:color="auto" w:fill="FFFFFF"/>
          <w:lang w:val="ka-GE"/>
        </w:rPr>
        <w:t xml:space="preserve">, </w:t>
      </w:r>
      <w:r>
        <w:rPr>
          <w:rFonts w:asciiTheme="minorHAnsi" w:hAnsiTheme="minorHAnsi" w:cstheme="minorHAnsi"/>
          <w:color w:val="222222"/>
          <w:sz w:val="22"/>
          <w:szCs w:val="22"/>
          <w:shd w:val="clear" w:color="auto" w:fill="FFFFFF"/>
        </w:rPr>
        <w:t xml:space="preserve">which should be a complementary strategy to standard, fixed office-based NSP services. Local NGO is implementing implementation study about feasibility and operation of SVMs in Tbilisi – Addiction Research Center Alternative Georgia with financial support from 5% Initiative and in partnership with existing TGF HIV grant.  SVMs provide uninterrupted 24/7 access to sterile injection equipment, condoms and probably to HIV self-test not only those who might be in contact with regular HIV prevention services, but also those who are reluctant to visit such services due to stigma. It is </w:t>
      </w:r>
      <w:r>
        <w:rPr>
          <w:rFonts w:asciiTheme="minorHAnsi" w:hAnsiTheme="minorHAnsi" w:cstheme="minorHAnsi"/>
          <w:color w:val="222222"/>
          <w:sz w:val="22"/>
          <w:szCs w:val="22"/>
          <w:shd w:val="clear" w:color="auto" w:fill="FFFFFF"/>
        </w:rPr>
        <w:lastRenderedPageBreak/>
        <w:t xml:space="preserve">expected that most hidden groups who do not self-identify themselves as injecting drug users or MSM (due to self-denial), or women who suffer double stigma from the society might be attracted to seek HIV prevention materials/commodities in a safe and private environment through accessing vending machines. </w:t>
      </w:r>
    </w:p>
    <w:p w:rsidR="0016242B" w:rsidRDefault="0016242B" w:rsidP="0016242B">
      <w:pPr>
        <w:rPr>
          <w:rFonts w:asciiTheme="minorHAnsi" w:hAnsiTheme="minorHAnsi" w:cstheme="minorHAnsi"/>
          <w:color w:val="222222"/>
          <w:sz w:val="22"/>
          <w:szCs w:val="22"/>
          <w:shd w:val="clear" w:color="auto" w:fill="FFFFFF"/>
        </w:rPr>
      </w:pPr>
    </w:p>
    <w:p w:rsidR="0016242B" w:rsidRDefault="00F83AE0" w:rsidP="0016242B">
      <w:pPr>
        <w:rPr>
          <w:rFonts w:asciiTheme="minorHAnsi" w:hAnsiTheme="minorHAnsi" w:cstheme="minorHAnsi"/>
          <w:sz w:val="22"/>
          <w:szCs w:val="22"/>
        </w:rPr>
      </w:pPr>
      <w:r>
        <w:rPr>
          <w:rFonts w:asciiTheme="minorHAnsi" w:hAnsiTheme="minorHAnsi" w:cstheme="minorHAnsi"/>
          <w:color w:val="222222"/>
          <w:sz w:val="22"/>
          <w:szCs w:val="22"/>
          <w:shd w:val="clear" w:color="auto" w:fill="FFFFFF"/>
        </w:rPr>
        <w:t>Ongoing SVM implementation study in Tbilisi is expected to provide useful data on both - the implementation process and intervention outcomes in Georgian context. Based on favorable results of the study, the country will start scaling up the services to other regions to facilitate early detection and linkage to HIV treatment and care for these groups.</w:t>
      </w:r>
    </w:p>
    <w:p w:rsidR="0016242B" w:rsidRDefault="0016242B" w:rsidP="00EA3FD7">
      <w:pPr>
        <w:pStyle w:val="Default"/>
        <w:rPr>
          <w:rFonts w:asciiTheme="minorHAnsi" w:hAnsiTheme="minorHAnsi" w:cstheme="minorHAnsi"/>
          <w:sz w:val="22"/>
          <w:szCs w:val="22"/>
        </w:rPr>
      </w:pPr>
    </w:p>
    <w:p w:rsidR="003A13A6" w:rsidRPr="00F4678F" w:rsidRDefault="00F83AE0" w:rsidP="00EA3FD7">
      <w:pPr>
        <w:pStyle w:val="Default"/>
      </w:pPr>
      <w:r>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simplePos x="0" y="0"/>
                <wp:positionH relativeFrom="column">
                  <wp:posOffset>6290</wp:posOffset>
                </wp:positionH>
                <wp:positionV relativeFrom="paragraph">
                  <wp:posOffset>55991</wp:posOffset>
                </wp:positionV>
                <wp:extent cx="5888736" cy="2216506"/>
                <wp:effectExtent l="0" t="0" r="17145" b="19050"/>
                <wp:wrapNone/>
                <wp:docPr id="31" name="Text Box 31"/>
                <wp:cNvGraphicFramePr/>
                <a:graphic xmlns:a="http://schemas.openxmlformats.org/drawingml/2006/main">
                  <a:graphicData uri="http://schemas.microsoft.com/office/word/2010/wordprocessingShape">
                    <wps:wsp>
                      <wps:cNvSpPr txBox="1"/>
                      <wps:spPr>
                        <a:xfrm>
                          <a:off x="0" y="0"/>
                          <a:ext cx="5888736" cy="2216506"/>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F83AE0" w:rsidTr="00902EB1">
                              <w:trPr>
                                <w:trHeight w:val="300"/>
                              </w:trPr>
                              <w:tc>
                                <w:tcPr>
                                  <w:tcW w:w="8085" w:type="dxa"/>
                                  <w:gridSpan w:val="2"/>
                                </w:tcPr>
                                <w:p w:rsidR="00F83AE0" w:rsidRPr="00902EB1" w:rsidRDefault="00F83AE0" w:rsidP="00902EB1">
                                  <w:pPr>
                                    <w:ind w:left="720"/>
                                    <w:jc w:val="center"/>
                                    <w:rPr>
                                      <w:rFonts w:asciiTheme="minorHAnsi" w:hAnsiTheme="minorHAnsi" w:cstheme="minorHAnsi"/>
                                      <w:b/>
                                      <w:color w:val="2F5496" w:themeColor="accent1" w:themeShade="BF"/>
                                      <w:sz w:val="18"/>
                                      <w:szCs w:val="18"/>
                                    </w:rPr>
                                  </w:pPr>
                                  <w:r w:rsidRPr="00902EB1">
                                    <w:rPr>
                                      <w:rFonts w:asciiTheme="minorHAnsi" w:hAnsiTheme="minorHAnsi" w:cstheme="minorHAnsi"/>
                                      <w:b/>
                                      <w:color w:val="2F5496" w:themeColor="accent1" w:themeShade="BF"/>
                                      <w:sz w:val="18"/>
                                      <w:szCs w:val="18"/>
                                    </w:rPr>
                                    <w:t>PWID</w:t>
                                  </w:r>
                                </w:p>
                              </w:tc>
                            </w:tr>
                            <w:tr w:rsidR="00F83AE0" w:rsidTr="00902EB1">
                              <w:tc>
                                <w:tcPr>
                                  <w:tcW w:w="4116" w:type="dxa"/>
                                </w:tcPr>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Increase coverage of preventive services</w:t>
                                  </w:r>
                                </w:p>
                                <w:p w:rsidR="00F83AE0" w:rsidRPr="00902EB1" w:rsidRDefault="00F83AE0" w:rsidP="00902EB1">
                                  <w:pPr>
                                    <w:numPr>
                                      <w:ilvl w:val="2"/>
                                      <w:numId w:val="7"/>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Behavior change communication and counseling services </w:t>
                                  </w:r>
                                </w:p>
                                <w:p w:rsidR="00F83AE0" w:rsidRPr="00902EB1" w:rsidRDefault="00F83AE0" w:rsidP="00902EB1">
                                  <w:pPr>
                                    <w:numPr>
                                      <w:ilvl w:val="2"/>
                                      <w:numId w:val="7"/>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VCT </w:t>
                                  </w:r>
                                </w:p>
                                <w:p w:rsidR="00F83AE0" w:rsidRPr="00902EB1" w:rsidRDefault="00F83AE0" w:rsidP="00902EB1">
                                  <w:pPr>
                                    <w:numPr>
                                      <w:ilvl w:val="2"/>
                                      <w:numId w:val="7"/>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Saliva testing </w:t>
                                  </w:r>
                                </w:p>
                                <w:p w:rsidR="00F83AE0" w:rsidRPr="00902EB1" w:rsidRDefault="00F83AE0" w:rsidP="00902EB1">
                                  <w:pPr>
                                    <w:numPr>
                                      <w:ilvl w:val="2"/>
                                      <w:numId w:val="7"/>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TB screening questionnaire for TB diagnostics and referral for treatment</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Legal Assistance</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Psycho-social assistance</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Expansion of OST services</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lang w:val="en-GB"/>
                                    </w:rPr>
                                    <w:t>Adding vaccination/treatment of Hep C/B to HIV case management protocol</w:t>
                                  </w:r>
                                </w:p>
                                <w:p w:rsidR="00F83AE0" w:rsidRPr="00902EB1" w:rsidRDefault="00F83AE0" w:rsidP="00902EB1">
                                  <w:pPr>
                                    <w:ind w:left="319"/>
                                    <w:jc w:val="both"/>
                                    <w:rPr>
                                      <w:rFonts w:asciiTheme="minorHAnsi" w:hAnsiTheme="minorHAnsi" w:cstheme="minorHAnsi"/>
                                      <w:color w:val="2F5496" w:themeColor="accent1" w:themeShade="BF"/>
                                      <w:sz w:val="20"/>
                                      <w:szCs w:val="20"/>
                                    </w:rPr>
                                  </w:pPr>
                                </w:p>
                              </w:tc>
                              <w:tc>
                                <w:tcPr>
                                  <w:tcW w:w="3969" w:type="dxa"/>
                                </w:tcPr>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Adding HIV testing to Hep C screening standards </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Peer support programs</w:t>
                                  </w:r>
                                  <w:r>
                                    <w:rPr>
                                      <w:rFonts w:asciiTheme="minorHAnsi" w:hAnsiTheme="minorHAnsi" w:cstheme="minorHAnsi"/>
                                      <w:color w:val="2F5496" w:themeColor="accent1" w:themeShade="BF"/>
                                      <w:sz w:val="18"/>
                                      <w:szCs w:val="18"/>
                                    </w:rPr>
                                    <w:t>:</w:t>
                                  </w:r>
                                </w:p>
                                <w:p w:rsidR="00F83AE0" w:rsidRPr="00902EB1" w:rsidRDefault="00F83AE0" w:rsidP="00902EB1">
                                  <w:pPr>
                                    <w:numPr>
                                      <w:ilvl w:val="2"/>
                                      <w:numId w:val="7"/>
                                    </w:numPr>
                                    <w:ind w:left="604"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Optimized case finding</w:t>
                                  </w:r>
                                  <w:r w:rsidRPr="00902EB1">
                                    <w:rPr>
                                      <w:rFonts w:asciiTheme="minorHAnsi" w:hAnsiTheme="minorHAnsi" w:cstheme="minorHAnsi"/>
                                      <w:color w:val="2F5496" w:themeColor="accent1" w:themeShade="BF"/>
                                      <w:sz w:val="20"/>
                                      <w:szCs w:val="20"/>
                                    </w:rPr>
                                    <w:t xml:space="preserve"> – </w:t>
                                  </w:r>
                                  <w:r w:rsidRPr="00902EB1">
                                    <w:rPr>
                                      <w:rFonts w:asciiTheme="minorHAnsi" w:hAnsiTheme="minorHAnsi" w:cstheme="minorHAnsi"/>
                                      <w:color w:val="2F5496" w:themeColor="accent1" w:themeShade="BF"/>
                                      <w:sz w:val="18"/>
                                      <w:szCs w:val="18"/>
                                    </w:rPr>
                                    <w:t>incentives provided for every new HIV positive</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Prevention and treatment of overdose</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Reproductive health programs, especially programs for adolescent and young people who inject drugs</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The inclusion of mental health services in prevention/harm reduction programs</w:t>
                                  </w:r>
                                </w:p>
                                <w:p w:rsidR="00F83AE0" w:rsidRPr="00902EB1" w:rsidRDefault="00F83AE0" w:rsidP="00553693">
                                  <w:pPr>
                                    <w:numPr>
                                      <w:ilvl w:val="0"/>
                                      <w:numId w:val="7"/>
                                    </w:numPr>
                                    <w:tabs>
                                      <w:tab w:val="clear" w:pos="720"/>
                                      <w:tab w:val="num" w:pos="602"/>
                                    </w:tabs>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Introduction of PrEP</w:t>
                                  </w:r>
                                </w:p>
                                <w:p w:rsidR="00F83AE0" w:rsidRPr="00902EB1" w:rsidRDefault="00F83AE0" w:rsidP="00902EB1">
                                  <w:pPr>
                                    <w:ind w:left="319"/>
                                    <w:jc w:val="both"/>
                                    <w:rPr>
                                      <w:rFonts w:asciiTheme="minorHAnsi" w:hAnsiTheme="minorHAnsi" w:cstheme="minorHAnsi"/>
                                      <w:color w:val="2F5496" w:themeColor="accent1" w:themeShade="BF"/>
                                      <w:sz w:val="18"/>
                                      <w:szCs w:val="18"/>
                                    </w:rPr>
                                  </w:pPr>
                                </w:p>
                              </w:tc>
                            </w:tr>
                          </w:tbl>
                          <w:p w:rsidR="00F83AE0" w:rsidRDefault="00F83AE0" w:rsidP="003A13A6"/>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Text Box 31" o:spid="_x0000_s1030" style="position:absolute;margin-left:.5pt;margin-top:4.4pt;width:463.7pt;height:17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" fillcolor="white [3201]" strokecolor="#5b9bd5 [3208]" strokeweight="1pt">
                <v:stroke joinstyle="miter"/>
                <v:textbo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F83AE0" w:rsidTr="00902EB1">
                        <w:trPr>
                          <w:trHeight w:val="300"/>
                        </w:trPr>
                        <w:tc>
                          <w:tcPr>
                            <w:tcW w:w="8085" w:type="dxa"/>
                            <w:gridSpan w:val="2"/>
                          </w:tcPr>
                          <w:p w:rsidR="00F83AE0" w:rsidRPr="00902EB1" w:rsidRDefault="00F83AE0" w:rsidP="00902EB1">
                            <w:pPr>
                              <w:ind w:left="720"/>
                              <w:jc w:val="center"/>
                              <w:rPr>
                                <w:rFonts w:asciiTheme="minorHAnsi" w:hAnsiTheme="minorHAnsi" w:cstheme="minorHAnsi"/>
                                <w:b/>
                                <w:color w:val="2F5496" w:themeColor="accent1" w:themeShade="BF"/>
                                <w:sz w:val="18"/>
                                <w:szCs w:val="18"/>
                              </w:rPr>
                            </w:pPr>
                            <w:r w:rsidRPr="00902EB1">
                              <w:rPr>
                                <w:rFonts w:asciiTheme="minorHAnsi" w:hAnsiTheme="minorHAnsi" w:cstheme="minorHAnsi"/>
                                <w:b/>
                                <w:color w:val="2F5496" w:themeColor="accent1" w:themeShade="BF"/>
                                <w:sz w:val="18"/>
                                <w:szCs w:val="18"/>
                              </w:rPr>
                              <w:t>PWID</w:t>
                            </w:r>
                          </w:p>
                        </w:tc>
                      </w:tr>
                      <w:tr w:rsidR="00F83AE0" w:rsidTr="00902EB1">
                        <w:tc>
                          <w:tcPr>
                            <w:tcW w:w="4116" w:type="dxa"/>
                          </w:tcPr>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Increase coverage of preventive services</w:t>
                            </w:r>
                          </w:p>
                          <w:p w:rsidR="00F83AE0" w:rsidRPr="00902EB1" w:rsidRDefault="00F83AE0" w:rsidP="00902EB1">
                            <w:pPr>
                              <w:numPr>
                                <w:ilvl w:val="2"/>
                                <w:numId w:val="7"/>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Behavior change communication and counseling services </w:t>
                            </w:r>
                          </w:p>
                          <w:p w:rsidR="00F83AE0" w:rsidRPr="00902EB1" w:rsidRDefault="00F83AE0" w:rsidP="00902EB1">
                            <w:pPr>
                              <w:numPr>
                                <w:ilvl w:val="2"/>
                                <w:numId w:val="7"/>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VCT </w:t>
                            </w:r>
                          </w:p>
                          <w:p w:rsidR="00F83AE0" w:rsidRPr="00902EB1" w:rsidRDefault="00F83AE0" w:rsidP="00902EB1">
                            <w:pPr>
                              <w:numPr>
                                <w:ilvl w:val="2"/>
                                <w:numId w:val="7"/>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Saliva testing </w:t>
                            </w:r>
                          </w:p>
                          <w:p w:rsidR="00F83AE0" w:rsidRPr="00902EB1" w:rsidRDefault="00F83AE0" w:rsidP="00902EB1">
                            <w:pPr>
                              <w:numPr>
                                <w:ilvl w:val="2"/>
                                <w:numId w:val="7"/>
                              </w:numPr>
                              <w:ind w:left="606" w:hanging="142"/>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TB screening questionnaire for TB diagnostics and referral for treatment</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Legal Assistance</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Psycho-social assistance</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Expansion of OST services</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lang w:val="en-GB"/>
                              </w:rPr>
                              <w:t>Adding vaccination/treatment of Hep C/B to HIV case management protocol</w:t>
                            </w:r>
                          </w:p>
                          <w:p w:rsidR="00F83AE0" w:rsidRPr="00902EB1" w:rsidRDefault="00F83AE0" w:rsidP="00902EB1">
                            <w:pPr>
                              <w:ind w:left="319"/>
                              <w:jc w:val="both"/>
                              <w:rPr>
                                <w:rFonts w:asciiTheme="minorHAnsi" w:hAnsiTheme="minorHAnsi" w:cstheme="minorHAnsi"/>
                                <w:color w:val="2F5496" w:themeColor="accent1" w:themeShade="BF"/>
                                <w:sz w:val="20"/>
                                <w:szCs w:val="20"/>
                              </w:rPr>
                            </w:pPr>
                          </w:p>
                        </w:tc>
                        <w:tc>
                          <w:tcPr>
                            <w:tcW w:w="3969" w:type="dxa"/>
                          </w:tcPr>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 xml:space="preserve">Adding HIV testing to Hep C screening standards </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Peer support programs</w:t>
                            </w:r>
                            <w:r>
                              <w:rPr>
                                <w:rFonts w:asciiTheme="minorHAnsi" w:hAnsiTheme="minorHAnsi" w:cstheme="minorHAnsi"/>
                                <w:color w:val="2F5496" w:themeColor="accent1" w:themeShade="BF"/>
                                <w:sz w:val="18"/>
                                <w:szCs w:val="18"/>
                              </w:rPr>
                              <w:t>:</w:t>
                            </w:r>
                          </w:p>
                          <w:p w:rsidR="00F83AE0" w:rsidRPr="00902EB1" w:rsidRDefault="00F83AE0" w:rsidP="00902EB1">
                            <w:pPr>
                              <w:numPr>
                                <w:ilvl w:val="2"/>
                                <w:numId w:val="7"/>
                              </w:numPr>
                              <w:ind w:left="604"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Optimized case finding</w:t>
                            </w:r>
                            <w:r w:rsidRPr="00902EB1">
                              <w:rPr>
                                <w:rFonts w:asciiTheme="minorHAnsi" w:hAnsiTheme="minorHAnsi" w:cstheme="minorHAnsi"/>
                                <w:color w:val="2F5496" w:themeColor="accent1" w:themeShade="BF"/>
                                <w:sz w:val="20"/>
                                <w:szCs w:val="20"/>
                              </w:rPr>
                              <w:t xml:space="preserve"> – </w:t>
                            </w:r>
                            <w:r w:rsidRPr="00902EB1">
                              <w:rPr>
                                <w:rFonts w:asciiTheme="minorHAnsi" w:hAnsiTheme="minorHAnsi" w:cstheme="minorHAnsi"/>
                                <w:color w:val="2F5496" w:themeColor="accent1" w:themeShade="BF"/>
                                <w:sz w:val="18"/>
                                <w:szCs w:val="18"/>
                              </w:rPr>
                              <w:t>incentives provided for every new HIV positive</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Prevention and treatment of overdose</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Reproductive health programs, especially programs for adolescent and young people who inject drugs</w:t>
                            </w:r>
                          </w:p>
                          <w:p w:rsidR="00F83AE0" w:rsidRPr="00902EB1" w:rsidRDefault="00F83AE0" w:rsidP="00553693">
                            <w:pPr>
                              <w:numPr>
                                <w:ilvl w:val="0"/>
                                <w:numId w:val="7"/>
                              </w:numPr>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The inclusion of mental health services in prevention/harm reduction programs</w:t>
                            </w:r>
                          </w:p>
                          <w:p w:rsidR="00F83AE0" w:rsidRPr="00902EB1" w:rsidRDefault="00F83AE0" w:rsidP="00553693">
                            <w:pPr>
                              <w:numPr>
                                <w:ilvl w:val="0"/>
                                <w:numId w:val="7"/>
                              </w:numPr>
                              <w:tabs>
                                <w:tab w:val="clear" w:pos="720"/>
                                <w:tab w:val="num" w:pos="602"/>
                              </w:tabs>
                              <w:ind w:left="319" w:hanging="284"/>
                              <w:jc w:val="both"/>
                              <w:rPr>
                                <w:rFonts w:asciiTheme="minorHAnsi" w:hAnsiTheme="minorHAnsi" w:cstheme="minorHAnsi"/>
                                <w:color w:val="2F5496" w:themeColor="accent1" w:themeShade="BF"/>
                                <w:sz w:val="18"/>
                                <w:szCs w:val="18"/>
                              </w:rPr>
                            </w:pPr>
                            <w:r w:rsidRPr="00902EB1">
                              <w:rPr>
                                <w:rFonts w:asciiTheme="minorHAnsi" w:hAnsiTheme="minorHAnsi" w:cstheme="minorHAnsi"/>
                                <w:color w:val="2F5496" w:themeColor="accent1" w:themeShade="BF"/>
                                <w:sz w:val="18"/>
                                <w:szCs w:val="18"/>
                              </w:rPr>
                              <w:t>Introduction of PrEP</w:t>
                            </w:r>
                          </w:p>
                          <w:p w:rsidR="00F83AE0" w:rsidRPr="00902EB1" w:rsidRDefault="00F83AE0" w:rsidP="00902EB1">
                            <w:pPr>
                              <w:ind w:left="319"/>
                              <w:jc w:val="both"/>
                              <w:rPr>
                                <w:rFonts w:asciiTheme="minorHAnsi" w:hAnsiTheme="minorHAnsi" w:cstheme="minorHAnsi"/>
                                <w:color w:val="2F5496" w:themeColor="accent1" w:themeShade="BF"/>
                                <w:sz w:val="18"/>
                                <w:szCs w:val="18"/>
                              </w:rPr>
                            </w:pPr>
                          </w:p>
                        </w:tc>
                      </w:tr>
                    </w:tbl>
                    <w:p w:rsidR="00F83AE0" w:rsidRDefault="00F83AE0" w:rsidP="003A13A6"/>
                  </w:txbxContent>
                </v:textbox>
              </v:roundrect>
            </w:pict>
          </mc:Fallback>
        </mc:AlternateContent>
      </w: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16242B" w:rsidRDefault="0016242B" w:rsidP="0016242B">
      <w:pPr>
        <w:rPr>
          <w:rFonts w:asciiTheme="minorHAnsi" w:hAnsiTheme="minorHAnsi" w:cstheme="minorHAnsi"/>
          <w:sz w:val="22"/>
          <w:szCs w:val="22"/>
          <w:lang w:val="en-GB"/>
        </w:rPr>
      </w:pPr>
    </w:p>
    <w:p w:rsidR="003A13A6" w:rsidRPr="0016242B" w:rsidRDefault="00F83AE0" w:rsidP="0016242B">
      <w:pPr>
        <w:pStyle w:val="Heading3"/>
        <w:rPr>
          <w:rFonts w:asciiTheme="minorHAnsi" w:eastAsiaTheme="minorHAnsi" w:hAnsiTheme="minorHAnsi" w:cstheme="minorHAnsi"/>
          <w:color w:val="000000"/>
          <w:sz w:val="22"/>
          <w:szCs w:val="22"/>
          <w:lang w:val="en-GB"/>
        </w:rPr>
      </w:pPr>
      <w:bookmarkStart w:id="17" w:name="_Toc517018621"/>
      <w:r w:rsidRPr="004D4197">
        <w:t>CSW’s</w:t>
      </w:r>
      <w:bookmarkEnd w:id="17"/>
    </w:p>
    <w:p w:rsidR="003A13A6" w:rsidRDefault="003A13A6" w:rsidP="003A13A6">
      <w:pPr>
        <w:rPr>
          <w:lang w:val="en-GB"/>
        </w:rPr>
      </w:pPr>
    </w:p>
    <w:p w:rsidR="00933054" w:rsidRPr="00933054" w:rsidRDefault="00F83AE0" w:rsidP="00933054">
      <w:pPr>
        <w:rPr>
          <w:rFonts w:asciiTheme="minorHAnsi" w:hAnsiTheme="minorHAnsi" w:cstheme="minorHAnsi"/>
          <w:sz w:val="22"/>
          <w:szCs w:val="22"/>
        </w:rPr>
      </w:pPr>
      <w:r w:rsidRPr="00933054">
        <w:rPr>
          <w:rFonts w:asciiTheme="minorHAnsi" w:hAnsiTheme="minorHAnsi" w:cstheme="minorHAnsi"/>
          <w:sz w:val="22"/>
          <w:szCs w:val="22"/>
        </w:rPr>
        <w:t xml:space="preserve">Stable low knowledge on HIV has been a challenge for prevention programs among sex workers since </w:t>
      </w:r>
      <w:r>
        <w:rPr>
          <w:rFonts w:asciiTheme="minorHAnsi" w:hAnsiTheme="minorHAnsi" w:cstheme="minorHAnsi"/>
          <w:sz w:val="22"/>
          <w:szCs w:val="22"/>
        </w:rPr>
        <w:t>the beginning of national HIV response in Georgia</w:t>
      </w:r>
      <w:r w:rsidRPr="00933054">
        <w:rPr>
          <w:rFonts w:asciiTheme="minorHAnsi" w:hAnsiTheme="minorHAnsi" w:cstheme="minorHAnsi"/>
          <w:sz w:val="22"/>
          <w:szCs w:val="22"/>
        </w:rPr>
        <w:t xml:space="preserve">. Continuous efforts shall be made </w:t>
      </w:r>
      <w:r>
        <w:rPr>
          <w:rFonts w:asciiTheme="minorHAnsi" w:hAnsiTheme="minorHAnsi" w:cstheme="minorHAnsi"/>
          <w:sz w:val="22"/>
          <w:szCs w:val="22"/>
        </w:rPr>
        <w:t xml:space="preserve">to increase the knowledge regarding </w:t>
      </w:r>
      <w:r w:rsidRPr="00933054">
        <w:rPr>
          <w:rFonts w:asciiTheme="minorHAnsi" w:hAnsiTheme="minorHAnsi" w:cstheme="minorHAnsi"/>
          <w:sz w:val="22"/>
          <w:szCs w:val="22"/>
        </w:rPr>
        <w:t xml:space="preserve">safe sexual practices with the clients and improving behavior trends with both regular clients and regular partners. </w:t>
      </w:r>
    </w:p>
    <w:p w:rsidR="00933054" w:rsidRDefault="00933054" w:rsidP="00933054">
      <w:pPr>
        <w:rPr>
          <w:rFonts w:asciiTheme="minorHAnsi" w:hAnsiTheme="minorHAnsi" w:cstheme="minorHAnsi"/>
          <w:sz w:val="22"/>
          <w:szCs w:val="22"/>
        </w:rPr>
      </w:pPr>
    </w:p>
    <w:p w:rsidR="00933054" w:rsidRDefault="00F83AE0" w:rsidP="000A24CA">
      <w:pPr>
        <w:rPr>
          <w:rFonts w:asciiTheme="minorHAnsi" w:hAnsiTheme="minorHAnsi" w:cstheme="minorHAnsi"/>
          <w:sz w:val="22"/>
          <w:szCs w:val="22"/>
          <w:lang w:val="en-GB"/>
        </w:rPr>
      </w:pPr>
      <w:r w:rsidRPr="00933054">
        <w:rPr>
          <w:rFonts w:asciiTheme="minorHAnsi" w:hAnsiTheme="minorHAnsi" w:cstheme="minorHAnsi"/>
          <w:sz w:val="22"/>
          <w:szCs w:val="22"/>
        </w:rPr>
        <w:t>Currently the program does not envisage lubricants provision to sex workers; however, there is a demand, which shall be met during the next strategic period. Attention to be paid to the increased use of non-injecting drugs among FSWs.</w:t>
      </w:r>
      <w:r w:rsidR="000A24CA">
        <w:rPr>
          <w:rFonts w:asciiTheme="minorHAnsi" w:hAnsiTheme="minorHAnsi" w:cstheme="minorHAnsi"/>
          <w:sz w:val="22"/>
          <w:szCs w:val="22"/>
        </w:rPr>
        <w:t xml:space="preserve"> Package for this group should also include </w:t>
      </w:r>
      <w:r w:rsidRPr="00933054">
        <w:rPr>
          <w:rFonts w:asciiTheme="minorHAnsi" w:hAnsiTheme="minorHAnsi" w:cstheme="minorHAnsi"/>
          <w:sz w:val="22"/>
          <w:szCs w:val="22"/>
          <w:lang w:val="en-GB"/>
        </w:rPr>
        <w:t>counseling on contraception methods, safe abortion, cervical cancer screeni</w:t>
      </w:r>
      <w:r w:rsidR="000A24CA">
        <w:rPr>
          <w:rFonts w:asciiTheme="minorHAnsi" w:hAnsiTheme="minorHAnsi" w:cstheme="minorHAnsi"/>
          <w:sz w:val="22"/>
          <w:szCs w:val="22"/>
          <w:lang w:val="en-GB"/>
        </w:rPr>
        <w:t>ng and conception and pregnancy. This</w:t>
      </w:r>
      <w:r w:rsidRPr="00933054">
        <w:rPr>
          <w:rFonts w:asciiTheme="minorHAnsi" w:hAnsiTheme="minorHAnsi" w:cstheme="minorHAnsi"/>
          <w:sz w:val="22"/>
          <w:szCs w:val="22"/>
          <w:lang w:val="en-GB"/>
        </w:rPr>
        <w:t xml:space="preserve"> will expand the package to more comprehensive </w:t>
      </w:r>
      <w:r w:rsidR="000A24CA">
        <w:rPr>
          <w:rFonts w:asciiTheme="minorHAnsi" w:hAnsiTheme="minorHAnsi" w:cstheme="minorHAnsi"/>
          <w:sz w:val="22"/>
          <w:szCs w:val="22"/>
          <w:lang w:val="en-GB"/>
        </w:rPr>
        <w:t xml:space="preserve">and make it more attractive for beneficiaries. </w:t>
      </w:r>
    </w:p>
    <w:p w:rsidR="00223DED" w:rsidRDefault="00223DED" w:rsidP="000A24CA">
      <w:pPr>
        <w:rPr>
          <w:rFonts w:asciiTheme="minorHAnsi" w:hAnsiTheme="minorHAnsi" w:cstheme="minorHAnsi"/>
          <w:sz w:val="22"/>
          <w:szCs w:val="22"/>
          <w:lang w:val="en-GB"/>
        </w:rPr>
      </w:pPr>
    </w:p>
    <w:p w:rsidR="00427D67" w:rsidRPr="00F62C74" w:rsidRDefault="00F83AE0" w:rsidP="00427D67">
      <w:pPr>
        <w:rPr>
          <w:rFonts w:asciiTheme="minorHAnsi" w:hAnsiTheme="minorHAnsi"/>
          <w:color w:val="000000" w:themeColor="text1"/>
          <w:sz w:val="22"/>
          <w:szCs w:val="22"/>
        </w:rPr>
      </w:pPr>
      <w:r w:rsidRPr="00427D67">
        <w:rPr>
          <w:rFonts w:asciiTheme="minorHAnsi" w:hAnsiTheme="minorHAnsi"/>
          <w:color w:val="000000" w:themeColor="text1"/>
          <w:sz w:val="22"/>
          <w:szCs w:val="22"/>
        </w:rPr>
        <w:t>To design the most effective and targeted programs a tool developed by WHO</w:t>
      </w:r>
      <w:r w:rsidRPr="00F62C74">
        <w:rPr>
          <w:rFonts w:asciiTheme="minorHAnsi" w:hAnsiTheme="minorHAnsi"/>
          <w:color w:val="000000" w:themeColor="text1"/>
          <w:sz w:val="22"/>
          <w:szCs w:val="22"/>
        </w:rPr>
        <w:t>/</w:t>
      </w:r>
      <w:r w:rsidRPr="00F62C74">
        <w:rPr>
          <w:rFonts w:asciiTheme="minorHAnsi" w:hAnsiTheme="minorHAnsi"/>
          <w:color w:val="000000" w:themeColor="text1"/>
          <w:sz w:val="22"/>
          <w:szCs w:val="22"/>
          <w:shd w:val="clear" w:color="auto" w:fill="FFFFFF"/>
        </w:rPr>
        <w:t>UNFPA/ UNAIDS/ NSWP/World Bank/UNDP be used</w:t>
      </w:r>
      <w:r>
        <w:rPr>
          <w:rStyle w:val="FootnoteReference"/>
          <w:rFonts w:asciiTheme="minorHAnsi" w:hAnsiTheme="minorHAnsi"/>
          <w:color w:val="000000" w:themeColor="text1"/>
          <w:sz w:val="22"/>
          <w:szCs w:val="22"/>
          <w:shd w:val="clear" w:color="auto" w:fill="FFFFFF"/>
        </w:rPr>
        <w:footnoteReference w:id="30"/>
      </w:r>
      <w:r w:rsidRPr="00F62C74">
        <w:rPr>
          <w:rFonts w:asciiTheme="minorHAnsi" w:hAnsiTheme="minorHAnsi"/>
          <w:color w:val="000000" w:themeColor="text1"/>
          <w:sz w:val="22"/>
          <w:szCs w:val="22"/>
          <w:shd w:val="clear" w:color="auto" w:fill="FFFFFF"/>
        </w:rPr>
        <w:t xml:space="preserve">. </w:t>
      </w:r>
    </w:p>
    <w:p w:rsidR="000A24CA" w:rsidRPr="00427D67" w:rsidRDefault="000A24CA" w:rsidP="000A24CA">
      <w:pPr>
        <w:rPr>
          <w:rFonts w:asciiTheme="minorHAnsi" w:hAnsiTheme="minorHAnsi" w:cstheme="minorHAnsi"/>
          <w:sz w:val="22"/>
          <w:szCs w:val="22"/>
          <w:lang w:val="en-GB"/>
        </w:rPr>
      </w:pPr>
    </w:p>
    <w:p w:rsidR="00933054" w:rsidRPr="00933054" w:rsidRDefault="00F83AE0" w:rsidP="000A24CA">
      <w:pPr>
        <w:rPr>
          <w:rFonts w:asciiTheme="minorHAnsi" w:hAnsiTheme="minorHAnsi" w:cstheme="minorHAnsi"/>
          <w:sz w:val="22"/>
          <w:szCs w:val="22"/>
        </w:rPr>
      </w:pPr>
      <w:r w:rsidRPr="00933054">
        <w:rPr>
          <w:rFonts w:asciiTheme="minorHAnsi" w:hAnsiTheme="minorHAnsi" w:cstheme="minorHAnsi"/>
          <w:sz w:val="22"/>
          <w:szCs w:val="22"/>
        </w:rPr>
        <w:t xml:space="preserve">Stigma and discrimination rates, e.g., verbal assaults and humiliation, are widespread phenomena faced by sex workers. At the same time, trust towards law enforcement is very low, and there is no expectation that police would react adequately to various rights </w:t>
      </w:r>
      <w:r w:rsidR="000A24CA" w:rsidRPr="00933054">
        <w:rPr>
          <w:rFonts w:asciiTheme="minorHAnsi" w:hAnsiTheme="minorHAnsi" w:cstheme="minorHAnsi"/>
          <w:sz w:val="22"/>
          <w:szCs w:val="22"/>
        </w:rPr>
        <w:t>violations</w:t>
      </w:r>
      <w:r w:rsidRPr="00933054">
        <w:rPr>
          <w:rFonts w:asciiTheme="minorHAnsi" w:hAnsiTheme="minorHAnsi" w:cstheme="minorHAnsi"/>
          <w:sz w:val="22"/>
          <w:szCs w:val="22"/>
        </w:rPr>
        <w:t xml:space="preserve"> of sex workers. This shall also be addressed in combination with the prevention programs, and specific activities, such as sensitization of police personnel shall be conducted throughout the country. </w:t>
      </w:r>
    </w:p>
    <w:p w:rsidR="003A13A6" w:rsidRPr="00933054" w:rsidRDefault="003A13A6" w:rsidP="00933054">
      <w:pPr>
        <w:rPr>
          <w:rFonts w:asciiTheme="minorHAnsi" w:hAnsiTheme="minorHAnsi" w:cstheme="minorHAnsi"/>
          <w:sz w:val="22"/>
          <w:szCs w:val="22"/>
          <w:lang w:val="en-GB"/>
        </w:rPr>
      </w:pPr>
    </w:p>
    <w:p w:rsidR="003A13A6" w:rsidRPr="003A13A6" w:rsidRDefault="003A13A6" w:rsidP="003A13A6">
      <w:pPr>
        <w:rPr>
          <w:lang w:val="en-GB"/>
        </w:rPr>
      </w:pPr>
    </w:p>
    <w:p w:rsidR="003A13A6" w:rsidRDefault="003A13A6" w:rsidP="003A13A6">
      <w:pPr>
        <w:pStyle w:val="Default"/>
        <w:rPr>
          <w:rFonts w:asciiTheme="minorHAnsi" w:hAnsiTheme="minorHAnsi" w:cstheme="minorHAnsi"/>
          <w:sz w:val="22"/>
          <w:szCs w:val="22"/>
          <w:lang w:val="en-GB"/>
        </w:rPr>
      </w:pPr>
    </w:p>
    <w:p w:rsidR="000A24CA" w:rsidRDefault="000A24CA" w:rsidP="003A13A6">
      <w:pPr>
        <w:pStyle w:val="Default"/>
        <w:rPr>
          <w:rFonts w:asciiTheme="minorHAnsi" w:hAnsiTheme="minorHAnsi" w:cstheme="minorHAnsi"/>
          <w:sz w:val="22"/>
          <w:szCs w:val="22"/>
          <w:lang w:val="en-GB"/>
        </w:rPr>
      </w:pPr>
    </w:p>
    <w:p w:rsidR="000A24CA" w:rsidRDefault="000A24CA" w:rsidP="003A13A6">
      <w:pPr>
        <w:pStyle w:val="Default"/>
        <w:rPr>
          <w:rFonts w:asciiTheme="minorHAnsi" w:hAnsiTheme="minorHAnsi" w:cstheme="minorHAnsi"/>
          <w:sz w:val="22"/>
          <w:szCs w:val="22"/>
          <w:lang w:val="en-GB"/>
        </w:rPr>
      </w:pPr>
    </w:p>
    <w:p w:rsidR="000A24CA" w:rsidRDefault="00F83AE0" w:rsidP="003A13A6">
      <w:pPr>
        <w:pStyle w:val="Default"/>
        <w:rPr>
          <w:rFonts w:asciiTheme="minorHAnsi" w:hAnsiTheme="minorHAnsi" w:cstheme="minorHAnsi"/>
          <w:sz w:val="22"/>
          <w:szCs w:val="22"/>
          <w:lang w:val="en-GB"/>
        </w:rPr>
      </w:pPr>
      <w:r>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simplePos x="0" y="0"/>
                <wp:positionH relativeFrom="column">
                  <wp:posOffset>-55418</wp:posOffset>
                </wp:positionH>
                <wp:positionV relativeFrom="paragraph">
                  <wp:posOffset>-491836</wp:posOffset>
                </wp:positionV>
                <wp:extent cx="5888355" cy="1925781"/>
                <wp:effectExtent l="0" t="0" r="17145" b="17780"/>
                <wp:wrapNone/>
                <wp:docPr id="32" name="Text Box 32"/>
                <wp:cNvGraphicFramePr/>
                <a:graphic xmlns:a="http://schemas.openxmlformats.org/drawingml/2006/main">
                  <a:graphicData uri="http://schemas.microsoft.com/office/word/2010/wordprocessingShape">
                    <wps:wsp>
                      <wps:cNvSpPr txBox="1"/>
                      <wps:spPr>
                        <a:xfrm>
                          <a:off x="0" y="0"/>
                          <a:ext cx="5888355" cy="1925781"/>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F83AE0" w:rsidTr="00902EB1">
                              <w:trPr>
                                <w:trHeight w:val="300"/>
                              </w:trPr>
                              <w:tc>
                                <w:tcPr>
                                  <w:tcW w:w="8085" w:type="dxa"/>
                                  <w:gridSpan w:val="2"/>
                                </w:tcPr>
                                <w:p w:rsidR="00F83AE0" w:rsidRPr="00D2245A" w:rsidRDefault="00F83AE0" w:rsidP="00D2245A">
                                  <w:pPr>
                                    <w:ind w:left="720"/>
                                    <w:jc w:val="center"/>
                                    <w:rPr>
                                      <w:rFonts w:asciiTheme="minorHAnsi" w:hAnsiTheme="minorHAnsi" w:cstheme="minorHAnsi"/>
                                      <w:b/>
                                      <w:color w:val="2F5496" w:themeColor="accent1" w:themeShade="BF"/>
                                      <w:sz w:val="18"/>
                                      <w:szCs w:val="18"/>
                                    </w:rPr>
                                  </w:pPr>
                                  <w:r w:rsidRPr="00092F80">
                                    <w:rPr>
                                      <w:rFonts w:asciiTheme="minorHAnsi" w:hAnsiTheme="minorHAnsi" w:cstheme="minorHAnsi"/>
                                      <w:b/>
                                      <w:color w:val="2F5496" w:themeColor="accent1" w:themeShade="BF"/>
                                      <w:sz w:val="18"/>
                                      <w:szCs w:val="18"/>
                                    </w:rPr>
                                    <w:t>SW</w:t>
                                  </w:r>
                                </w:p>
                              </w:tc>
                            </w:tr>
                            <w:tr w:rsidR="00F83AE0" w:rsidTr="00902EB1">
                              <w:tc>
                                <w:tcPr>
                                  <w:tcW w:w="4116" w:type="dxa"/>
                                </w:tcPr>
                                <w:p w:rsidR="00F83AE0" w:rsidRPr="00092F80" w:rsidRDefault="00F83AE0" w:rsidP="000A24CA">
                                  <w:pPr>
                                    <w:numPr>
                                      <w:ilvl w:val="0"/>
                                      <w:numId w:val="13"/>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Increase coverage of preventive services</w:t>
                                  </w:r>
                                </w:p>
                                <w:p w:rsidR="00F83AE0" w:rsidRPr="00092F80" w:rsidRDefault="00F83AE0"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Behavior change communication and counseling services </w:t>
                                  </w:r>
                                </w:p>
                                <w:p w:rsidR="00F83AE0" w:rsidRPr="00092F80" w:rsidRDefault="00F83AE0"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Increase VCT and saliva testing </w:t>
                                  </w:r>
                                </w:p>
                                <w:p w:rsidR="00F83AE0" w:rsidRPr="00092F80" w:rsidRDefault="00F83AE0"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TB screening questionnaire for TB diagnostics and referral for treatment</w:t>
                                  </w:r>
                                </w:p>
                                <w:p w:rsidR="00F83AE0" w:rsidRPr="00092F80" w:rsidRDefault="00F83AE0" w:rsidP="000A24CA">
                                  <w:pPr>
                                    <w:numPr>
                                      <w:ilvl w:val="0"/>
                                      <w:numId w:val="13"/>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Increase access to condoms  and lubricants</w:t>
                                  </w:r>
                                </w:p>
                                <w:p w:rsidR="00F83AE0" w:rsidRPr="00092F80" w:rsidRDefault="00F83AE0"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Add Reproductive health services to existing service package (FP/safe abortion consultation and referral to Ob/Gyn)</w:t>
                                  </w:r>
                                </w:p>
                                <w:p w:rsidR="00F83AE0" w:rsidRPr="00D2245A" w:rsidRDefault="00F83AE0" w:rsidP="000E7A6C">
                                  <w:pPr>
                                    <w:ind w:left="315"/>
                                    <w:jc w:val="both"/>
                                    <w:rPr>
                                      <w:rFonts w:asciiTheme="minorHAnsi" w:hAnsiTheme="minorHAnsi" w:cstheme="minorHAnsi"/>
                                      <w:color w:val="2F5496" w:themeColor="accent1" w:themeShade="BF"/>
                                      <w:sz w:val="20"/>
                                      <w:szCs w:val="20"/>
                                    </w:rPr>
                                  </w:pPr>
                                </w:p>
                              </w:tc>
                              <w:tc>
                                <w:tcPr>
                                  <w:tcW w:w="3969" w:type="dxa"/>
                                </w:tcPr>
                                <w:p w:rsidR="00F83AE0" w:rsidRPr="00092F80" w:rsidRDefault="00F83AE0" w:rsidP="000E7A6C">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Sustain STI diagnostic and treatment services</w:t>
                                  </w:r>
                                </w:p>
                                <w:p w:rsidR="00F83AE0" w:rsidRPr="00092F80" w:rsidRDefault="00F83AE0" w:rsidP="000A24CA">
                                  <w:pPr>
                                    <w:numPr>
                                      <w:ilvl w:val="0"/>
                                      <w:numId w:val="11"/>
                                    </w:numPr>
                                    <w:tabs>
                                      <w:tab w:val="clear" w:pos="720"/>
                                      <w:tab w:val="num" w:pos="360"/>
                                    </w:tabs>
                                    <w:ind w:left="315" w:hanging="315"/>
                                    <w:rPr>
                                      <w:rFonts w:asciiTheme="minorHAnsi" w:hAnsiTheme="minorHAnsi"/>
                                      <w:color w:val="2F5496" w:themeColor="accent1" w:themeShade="BF"/>
                                      <w:sz w:val="18"/>
                                      <w:szCs w:val="18"/>
                                    </w:rPr>
                                  </w:pPr>
                                  <w:r w:rsidRPr="00092F80">
                                    <w:rPr>
                                      <w:rFonts w:asciiTheme="minorHAnsi" w:hAnsiTheme="minorHAnsi"/>
                                      <w:color w:val="2F5496" w:themeColor="accent1" w:themeShade="BF"/>
                                      <w:sz w:val="18"/>
                                      <w:szCs w:val="18"/>
                                    </w:rPr>
                                    <w:t>Activities against violence and improve referral services</w:t>
                                  </w:r>
                                </w:p>
                                <w:p w:rsidR="00F83AE0" w:rsidRPr="00092F80" w:rsidRDefault="00F83AE0"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Improve access to mental health services </w:t>
                                  </w:r>
                                </w:p>
                                <w:p w:rsidR="00F83AE0" w:rsidRPr="00092F80" w:rsidRDefault="00F83AE0"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Improve access for SW to Post Exposure Prophylaxis (make PEP available at community level/service points);</w:t>
                                  </w:r>
                                </w:p>
                                <w:p w:rsidR="00F83AE0" w:rsidRPr="00092F80" w:rsidRDefault="00F83AE0" w:rsidP="000A24CA">
                                  <w:pPr>
                                    <w:numPr>
                                      <w:ilvl w:val="0"/>
                                      <w:numId w:val="11"/>
                                    </w:numPr>
                                    <w:tabs>
                                      <w:tab w:val="clear" w:pos="720"/>
                                      <w:tab w:val="num" w:pos="360"/>
                                    </w:tabs>
                                    <w:ind w:left="313" w:hanging="28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PrEP introduction (make PrEP available at community level/service points);  </w:t>
                                  </w:r>
                                </w:p>
                                <w:p w:rsidR="00F83AE0" w:rsidRPr="00092F80" w:rsidRDefault="00F83AE0" w:rsidP="00D2245A">
                                  <w:pPr>
                                    <w:ind w:left="720"/>
                                    <w:jc w:val="both"/>
                                    <w:rPr>
                                      <w:rFonts w:asciiTheme="minorHAnsi" w:hAnsiTheme="minorHAnsi" w:cstheme="minorHAnsi"/>
                                      <w:color w:val="2F5496" w:themeColor="accent1" w:themeShade="BF"/>
                                      <w:sz w:val="18"/>
                                      <w:szCs w:val="18"/>
                                    </w:rPr>
                                  </w:pPr>
                                </w:p>
                                <w:p w:rsidR="00F83AE0" w:rsidRPr="00D2245A" w:rsidRDefault="00F83AE0" w:rsidP="00092F80">
                                  <w:pPr>
                                    <w:ind w:left="319"/>
                                    <w:jc w:val="both"/>
                                    <w:rPr>
                                      <w:rFonts w:asciiTheme="minorHAnsi" w:hAnsiTheme="minorHAnsi" w:cstheme="minorHAnsi"/>
                                      <w:color w:val="2F5496" w:themeColor="accent1" w:themeShade="BF"/>
                                      <w:sz w:val="18"/>
                                      <w:szCs w:val="18"/>
                                    </w:rPr>
                                  </w:pPr>
                                </w:p>
                              </w:tc>
                            </w:tr>
                          </w:tbl>
                          <w:p w:rsidR="00F83AE0" w:rsidRPr="00092F80" w:rsidRDefault="00F83AE0" w:rsidP="000A24CA">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Text Box 32" o:spid="_x0000_s1031" style="position:absolute;margin-left:-4.35pt;margin-top:-38.75pt;width:463.65pt;height:15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" fillcolor="white [3201]" strokecolor="#5b9bd5 [3208]" strokeweight="1pt">
                <v:stroke joinstyle="miter"/>
                <v:textbox>
                  <w:txbxContent>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969"/>
                      </w:tblGrid>
                      <w:tr w:rsidR="00F83AE0" w:rsidTr="00902EB1">
                        <w:trPr>
                          <w:trHeight w:val="300"/>
                        </w:trPr>
                        <w:tc>
                          <w:tcPr>
                            <w:tcW w:w="8085" w:type="dxa"/>
                            <w:gridSpan w:val="2"/>
                          </w:tcPr>
                          <w:p w:rsidR="00F83AE0" w:rsidRPr="00D2245A" w:rsidRDefault="00F83AE0" w:rsidP="00D2245A">
                            <w:pPr>
                              <w:ind w:left="720"/>
                              <w:jc w:val="center"/>
                              <w:rPr>
                                <w:rFonts w:asciiTheme="minorHAnsi" w:hAnsiTheme="minorHAnsi" w:cstheme="minorHAnsi"/>
                                <w:b/>
                                <w:color w:val="2F5496" w:themeColor="accent1" w:themeShade="BF"/>
                                <w:sz w:val="18"/>
                                <w:szCs w:val="18"/>
                              </w:rPr>
                            </w:pPr>
                            <w:r w:rsidRPr="00092F80">
                              <w:rPr>
                                <w:rFonts w:asciiTheme="minorHAnsi" w:hAnsiTheme="minorHAnsi" w:cstheme="minorHAnsi"/>
                                <w:b/>
                                <w:color w:val="2F5496" w:themeColor="accent1" w:themeShade="BF"/>
                                <w:sz w:val="18"/>
                                <w:szCs w:val="18"/>
                              </w:rPr>
                              <w:t>SW</w:t>
                            </w:r>
                          </w:p>
                        </w:tc>
                      </w:tr>
                      <w:tr w:rsidR="00F83AE0" w:rsidTr="00902EB1">
                        <w:tc>
                          <w:tcPr>
                            <w:tcW w:w="4116" w:type="dxa"/>
                          </w:tcPr>
                          <w:p w:rsidR="00F83AE0" w:rsidRPr="00092F80" w:rsidRDefault="00F83AE0" w:rsidP="000A24CA">
                            <w:pPr>
                              <w:numPr>
                                <w:ilvl w:val="0"/>
                                <w:numId w:val="13"/>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Increase coverage of preventive services</w:t>
                            </w:r>
                          </w:p>
                          <w:p w:rsidR="00F83AE0" w:rsidRPr="00092F80" w:rsidRDefault="00F83AE0"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Behavior change communication and counseling services </w:t>
                            </w:r>
                          </w:p>
                          <w:p w:rsidR="00F83AE0" w:rsidRPr="00092F80" w:rsidRDefault="00F83AE0"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Increase VCT and saliva testing </w:t>
                            </w:r>
                          </w:p>
                          <w:p w:rsidR="00F83AE0" w:rsidRPr="00092F80" w:rsidRDefault="00F83AE0" w:rsidP="000A24CA">
                            <w:pPr>
                              <w:numPr>
                                <w:ilvl w:val="1"/>
                                <w:numId w:val="13"/>
                              </w:numPr>
                              <w:tabs>
                                <w:tab w:val="clear" w:pos="1440"/>
                                <w:tab w:val="num" w:pos="360"/>
                              </w:tabs>
                              <w:ind w:left="315" w:hanging="14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TB screening questionnaire for TB diagnostics and referral for treatment</w:t>
                            </w:r>
                          </w:p>
                          <w:p w:rsidR="00F83AE0" w:rsidRPr="00092F80" w:rsidRDefault="00F83AE0" w:rsidP="000A24CA">
                            <w:pPr>
                              <w:numPr>
                                <w:ilvl w:val="0"/>
                                <w:numId w:val="13"/>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Increase access to condoms  and lubricants</w:t>
                            </w:r>
                          </w:p>
                          <w:p w:rsidR="00F83AE0" w:rsidRPr="00092F80" w:rsidRDefault="00F83AE0"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Add Reproductive health services to existing service package (FP/safe abortion consultation and referral to Ob/Gyn)</w:t>
                            </w:r>
                          </w:p>
                          <w:p w:rsidR="00F83AE0" w:rsidRPr="00D2245A" w:rsidRDefault="00F83AE0" w:rsidP="000E7A6C">
                            <w:pPr>
                              <w:ind w:left="315"/>
                              <w:jc w:val="both"/>
                              <w:rPr>
                                <w:rFonts w:asciiTheme="minorHAnsi" w:hAnsiTheme="minorHAnsi" w:cstheme="minorHAnsi"/>
                                <w:color w:val="2F5496" w:themeColor="accent1" w:themeShade="BF"/>
                                <w:sz w:val="20"/>
                                <w:szCs w:val="20"/>
                              </w:rPr>
                            </w:pPr>
                          </w:p>
                        </w:tc>
                        <w:tc>
                          <w:tcPr>
                            <w:tcW w:w="3969" w:type="dxa"/>
                          </w:tcPr>
                          <w:p w:rsidR="00F83AE0" w:rsidRPr="00092F80" w:rsidRDefault="00F83AE0" w:rsidP="000E7A6C">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Sustain STI diagnostic and treatment services</w:t>
                            </w:r>
                          </w:p>
                          <w:p w:rsidR="00F83AE0" w:rsidRPr="00092F80" w:rsidRDefault="00F83AE0" w:rsidP="000A24CA">
                            <w:pPr>
                              <w:numPr>
                                <w:ilvl w:val="0"/>
                                <w:numId w:val="11"/>
                              </w:numPr>
                              <w:tabs>
                                <w:tab w:val="clear" w:pos="720"/>
                                <w:tab w:val="num" w:pos="360"/>
                              </w:tabs>
                              <w:ind w:left="315" w:hanging="315"/>
                              <w:rPr>
                                <w:rFonts w:asciiTheme="minorHAnsi" w:hAnsiTheme="minorHAnsi"/>
                                <w:color w:val="2F5496" w:themeColor="accent1" w:themeShade="BF"/>
                                <w:sz w:val="18"/>
                                <w:szCs w:val="18"/>
                              </w:rPr>
                            </w:pPr>
                            <w:r w:rsidRPr="00092F80">
                              <w:rPr>
                                <w:rFonts w:asciiTheme="minorHAnsi" w:hAnsiTheme="minorHAnsi"/>
                                <w:color w:val="2F5496" w:themeColor="accent1" w:themeShade="BF"/>
                                <w:sz w:val="18"/>
                                <w:szCs w:val="18"/>
                              </w:rPr>
                              <w:t>Activities against violence and improve referral services</w:t>
                            </w:r>
                          </w:p>
                          <w:p w:rsidR="00F83AE0" w:rsidRPr="00092F80" w:rsidRDefault="00F83AE0"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Improve access to mental health services </w:t>
                            </w:r>
                          </w:p>
                          <w:p w:rsidR="00F83AE0" w:rsidRPr="00092F80" w:rsidRDefault="00F83AE0" w:rsidP="000A24CA">
                            <w:pPr>
                              <w:numPr>
                                <w:ilvl w:val="0"/>
                                <w:numId w:val="11"/>
                              </w:numPr>
                              <w:tabs>
                                <w:tab w:val="clear" w:pos="720"/>
                                <w:tab w:val="num" w:pos="360"/>
                              </w:tabs>
                              <w:ind w:left="315" w:hanging="315"/>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Improve access for SW to Post Exposure Prophylaxis (make PEP available at community level/service points);</w:t>
                            </w:r>
                          </w:p>
                          <w:p w:rsidR="00F83AE0" w:rsidRPr="00092F80" w:rsidRDefault="00F83AE0" w:rsidP="000A24CA">
                            <w:pPr>
                              <w:numPr>
                                <w:ilvl w:val="0"/>
                                <w:numId w:val="11"/>
                              </w:numPr>
                              <w:tabs>
                                <w:tab w:val="clear" w:pos="720"/>
                                <w:tab w:val="num" w:pos="360"/>
                              </w:tabs>
                              <w:ind w:left="313" w:hanging="284"/>
                              <w:jc w:val="both"/>
                              <w:rPr>
                                <w:rFonts w:asciiTheme="minorHAnsi" w:hAnsiTheme="minorHAnsi" w:cstheme="minorHAnsi"/>
                                <w:color w:val="2F5496" w:themeColor="accent1" w:themeShade="BF"/>
                                <w:sz w:val="18"/>
                                <w:szCs w:val="18"/>
                              </w:rPr>
                            </w:pPr>
                            <w:r w:rsidRPr="00092F80">
                              <w:rPr>
                                <w:rFonts w:asciiTheme="minorHAnsi" w:hAnsiTheme="minorHAnsi" w:cstheme="minorHAnsi"/>
                                <w:color w:val="2F5496" w:themeColor="accent1" w:themeShade="BF"/>
                                <w:sz w:val="18"/>
                                <w:szCs w:val="18"/>
                              </w:rPr>
                              <w:t xml:space="preserve">PrEP introduction (make PrEP available at community level/service points);  </w:t>
                            </w:r>
                          </w:p>
                          <w:p w:rsidR="00F83AE0" w:rsidRPr="00092F80" w:rsidRDefault="00F83AE0" w:rsidP="00D2245A">
                            <w:pPr>
                              <w:ind w:left="720"/>
                              <w:jc w:val="both"/>
                              <w:rPr>
                                <w:rFonts w:asciiTheme="minorHAnsi" w:hAnsiTheme="minorHAnsi" w:cstheme="minorHAnsi"/>
                                <w:color w:val="2F5496" w:themeColor="accent1" w:themeShade="BF"/>
                                <w:sz w:val="18"/>
                                <w:szCs w:val="18"/>
                              </w:rPr>
                            </w:pPr>
                          </w:p>
                          <w:p w:rsidR="00F83AE0" w:rsidRPr="00D2245A" w:rsidRDefault="00F83AE0" w:rsidP="00092F80">
                            <w:pPr>
                              <w:ind w:left="319"/>
                              <w:jc w:val="both"/>
                              <w:rPr>
                                <w:rFonts w:asciiTheme="minorHAnsi" w:hAnsiTheme="minorHAnsi" w:cstheme="minorHAnsi"/>
                                <w:color w:val="2F5496" w:themeColor="accent1" w:themeShade="BF"/>
                                <w:sz w:val="18"/>
                                <w:szCs w:val="18"/>
                              </w:rPr>
                            </w:pPr>
                          </w:p>
                        </w:tc>
                      </w:tr>
                    </w:tbl>
                    <w:p w:rsidR="00F83AE0" w:rsidRPr="00092F80" w:rsidRDefault="00F83AE0" w:rsidP="000A24CA">
                      <w:pPr>
                        <w:rPr>
                          <w:color w:val="2F5496" w:themeColor="accent1" w:themeShade="BF"/>
                        </w:rPr>
                      </w:pPr>
                    </w:p>
                  </w:txbxContent>
                </v:textbox>
              </v:roundrect>
            </w:pict>
          </mc:Fallback>
        </mc:AlternateContent>
      </w:r>
    </w:p>
    <w:p w:rsidR="000A24CA" w:rsidRDefault="000A24CA" w:rsidP="003A13A6">
      <w:pPr>
        <w:pStyle w:val="Default"/>
        <w:rPr>
          <w:rFonts w:asciiTheme="minorHAnsi" w:hAnsiTheme="minorHAnsi" w:cstheme="minorHAnsi"/>
          <w:sz w:val="22"/>
          <w:szCs w:val="22"/>
          <w:lang w:val="en-GB"/>
        </w:rPr>
      </w:pPr>
    </w:p>
    <w:p w:rsidR="00A90D68" w:rsidRDefault="00A90D68" w:rsidP="00C96B4A">
      <w:pPr>
        <w:pStyle w:val="Heading3"/>
        <w:rPr>
          <w:lang w:val="en-GB"/>
        </w:rPr>
      </w:pPr>
    </w:p>
    <w:p w:rsidR="00A90D68" w:rsidRDefault="00A90D68" w:rsidP="00C96B4A">
      <w:pPr>
        <w:pStyle w:val="Heading3"/>
        <w:rPr>
          <w:lang w:val="en-GB"/>
        </w:rPr>
      </w:pPr>
    </w:p>
    <w:p w:rsidR="00A90D68" w:rsidRDefault="00A90D68" w:rsidP="00C96B4A">
      <w:pPr>
        <w:pStyle w:val="Heading3"/>
        <w:rPr>
          <w:lang w:val="en-GB"/>
        </w:rPr>
      </w:pPr>
    </w:p>
    <w:p w:rsidR="00A90D68" w:rsidRDefault="00A90D68" w:rsidP="00C96B4A">
      <w:pPr>
        <w:pStyle w:val="Heading3"/>
        <w:rPr>
          <w:lang w:val="en-GB"/>
        </w:rPr>
      </w:pPr>
    </w:p>
    <w:p w:rsidR="00A90D68" w:rsidRDefault="00A90D68" w:rsidP="00C96B4A">
      <w:pPr>
        <w:pStyle w:val="Heading3"/>
        <w:rPr>
          <w:lang w:val="en-GB"/>
        </w:rPr>
      </w:pPr>
    </w:p>
    <w:p w:rsidR="000E7A6C" w:rsidRDefault="000E7A6C" w:rsidP="00C96B4A">
      <w:pPr>
        <w:pStyle w:val="Heading3"/>
        <w:rPr>
          <w:lang w:val="en-GB"/>
        </w:rPr>
      </w:pPr>
    </w:p>
    <w:p w:rsidR="000E7A6C" w:rsidRDefault="000E7A6C" w:rsidP="00C96B4A">
      <w:pPr>
        <w:pStyle w:val="Heading3"/>
        <w:rPr>
          <w:lang w:val="en-GB"/>
        </w:rPr>
      </w:pPr>
    </w:p>
    <w:p w:rsidR="000A24CA" w:rsidRDefault="00F83AE0" w:rsidP="00C96B4A">
      <w:pPr>
        <w:pStyle w:val="Heading3"/>
        <w:rPr>
          <w:lang w:val="en-GB"/>
        </w:rPr>
      </w:pPr>
      <w:bookmarkStart w:id="18" w:name="_Toc517018622"/>
      <w:r>
        <w:rPr>
          <w:lang w:val="en-GB"/>
        </w:rPr>
        <w:t>Prisoners</w:t>
      </w:r>
      <w:bookmarkEnd w:id="18"/>
    </w:p>
    <w:p w:rsidR="000A24CA" w:rsidRDefault="000A24CA" w:rsidP="003A13A6">
      <w:pPr>
        <w:pStyle w:val="Default"/>
        <w:rPr>
          <w:rFonts w:asciiTheme="minorHAnsi" w:hAnsiTheme="minorHAnsi" w:cstheme="minorHAnsi"/>
          <w:sz w:val="22"/>
          <w:szCs w:val="22"/>
          <w:lang w:val="en-GB"/>
        </w:rPr>
      </w:pPr>
    </w:p>
    <w:p w:rsidR="0030543B" w:rsidRPr="0030543B" w:rsidRDefault="00F83AE0" w:rsidP="0030543B">
      <w:pPr>
        <w:rPr>
          <w:rFonts w:asciiTheme="minorHAnsi" w:hAnsiTheme="minorHAnsi" w:cstheme="minorHAnsi"/>
          <w:sz w:val="22"/>
          <w:szCs w:val="22"/>
        </w:rPr>
      </w:pPr>
      <w:r w:rsidRPr="0030543B">
        <w:rPr>
          <w:rFonts w:asciiTheme="minorHAnsi" w:hAnsiTheme="minorHAnsi" w:cstheme="minorHAnsi"/>
          <w:sz w:val="22"/>
          <w:szCs w:val="22"/>
        </w:rPr>
        <w:t>Continuous efforts shall be made to increase the knowledge among prisoners.</w:t>
      </w:r>
      <w:r>
        <w:rPr>
          <w:rFonts w:asciiTheme="minorHAnsi" w:hAnsiTheme="minorHAnsi" w:cstheme="minorHAnsi"/>
          <w:sz w:val="22"/>
          <w:szCs w:val="22"/>
        </w:rPr>
        <w:t xml:space="preserve"> </w:t>
      </w:r>
      <w:r w:rsidRPr="0030543B">
        <w:rPr>
          <w:rFonts w:asciiTheme="minorHAnsi" w:hAnsiTheme="minorHAnsi" w:cstheme="minorHAnsi"/>
          <w:sz w:val="22"/>
          <w:szCs w:val="22"/>
        </w:rPr>
        <w:t>All the penitentiary establishments shall also make lubricants available sinc</w:t>
      </w:r>
      <w:r>
        <w:rPr>
          <w:rFonts w:asciiTheme="minorHAnsi" w:hAnsiTheme="minorHAnsi" w:cstheme="minorHAnsi"/>
          <w:sz w:val="22"/>
          <w:szCs w:val="22"/>
        </w:rPr>
        <w:t xml:space="preserve">e there are both homosexual and </w:t>
      </w:r>
      <w:r w:rsidRPr="0030543B">
        <w:rPr>
          <w:rFonts w:asciiTheme="minorHAnsi" w:hAnsiTheme="minorHAnsi" w:cstheme="minorHAnsi"/>
          <w:sz w:val="22"/>
          <w:szCs w:val="22"/>
        </w:rPr>
        <w:t>heterosexual contacts reported.</w:t>
      </w:r>
    </w:p>
    <w:p w:rsidR="0030543B" w:rsidRDefault="0030543B" w:rsidP="0030543B">
      <w:pPr>
        <w:rPr>
          <w:rFonts w:asciiTheme="minorHAnsi" w:hAnsiTheme="minorHAnsi" w:cstheme="minorHAnsi"/>
          <w:sz w:val="22"/>
          <w:szCs w:val="22"/>
        </w:rPr>
      </w:pPr>
    </w:p>
    <w:p w:rsidR="0030543B" w:rsidRPr="0030543B" w:rsidRDefault="00F83AE0" w:rsidP="0030543B">
      <w:pPr>
        <w:rPr>
          <w:rFonts w:asciiTheme="minorHAnsi" w:hAnsiTheme="minorHAnsi" w:cstheme="minorHAnsi"/>
          <w:sz w:val="22"/>
          <w:szCs w:val="22"/>
        </w:rPr>
      </w:pPr>
      <w:r w:rsidRPr="0030543B">
        <w:rPr>
          <w:rFonts w:asciiTheme="minorHAnsi" w:hAnsiTheme="minorHAnsi" w:cstheme="minorHAnsi"/>
          <w:sz w:val="22"/>
          <w:szCs w:val="22"/>
        </w:rPr>
        <w:t>Different approaches that can reduce risks of HIV transmission inside penitentiary institutions should be considered and implemented if necessary. Since drug-related legislation in Georgia continues to be punitive, there is the constant flow of PWIDs into the penitentiary system. To prevent different risk practices, and especially lay the ground for prevention of lethal overdoses after release, specific psychosocial rehabilitation and harm reduction programs should be implemented.</w:t>
      </w:r>
    </w:p>
    <w:p w:rsidR="0030543B" w:rsidRDefault="0030543B" w:rsidP="0030543B"/>
    <w:p w:rsidR="000A24CA" w:rsidRPr="0030543B" w:rsidRDefault="00F83AE0" w:rsidP="003A13A6">
      <w:pPr>
        <w:pStyle w:val="Defaul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simplePos x="0" y="0"/>
                <wp:positionH relativeFrom="column">
                  <wp:posOffset>526473</wp:posOffset>
                </wp:positionH>
                <wp:positionV relativeFrom="paragraph">
                  <wp:posOffset>49530</wp:posOffset>
                </wp:positionV>
                <wp:extent cx="4037990" cy="1357745"/>
                <wp:effectExtent l="0" t="0" r="13335" b="13970"/>
                <wp:wrapNone/>
                <wp:docPr id="33" name="Text Box 33"/>
                <wp:cNvGraphicFramePr/>
                <a:graphic xmlns:a="http://schemas.openxmlformats.org/drawingml/2006/main">
                  <a:graphicData uri="http://schemas.microsoft.com/office/word/2010/wordprocessingShape">
                    <wps:wsp>
                      <wps:cNvSpPr txBox="1"/>
                      <wps:spPr>
                        <a:xfrm>
                          <a:off x="0" y="0"/>
                          <a:ext cx="4037990" cy="1357745"/>
                        </a:xfrm>
                        <a:prstGeom prst="roundRect">
                          <a:avLst/>
                        </a:prstGeom>
                      </wps:spPr>
                      <wps:style>
                        <a:lnRef idx="2">
                          <a:schemeClr val="accent5"/>
                        </a:lnRef>
                        <a:fillRef idx="1">
                          <a:schemeClr val="lt1"/>
                        </a:fillRef>
                        <a:effectRef idx="0">
                          <a:schemeClr val="accent5"/>
                        </a:effectRef>
                        <a:fontRef idx="minor">
                          <a:schemeClr val="dk1"/>
                        </a:fontRef>
                      </wps:style>
                      <wps:txb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F83AE0" w:rsidTr="00A67AB2">
                              <w:tc>
                                <w:tcPr>
                                  <w:tcW w:w="5665" w:type="dxa"/>
                                </w:tcPr>
                                <w:p w:rsidR="00F83AE0" w:rsidRPr="00A67AB2" w:rsidRDefault="00F83AE0" w:rsidP="00A67AB2">
                                  <w:pPr>
                                    <w:jc w:val="center"/>
                                    <w:rPr>
                                      <w:rFonts w:asciiTheme="minorHAnsi" w:hAnsiTheme="minorHAnsi" w:cstheme="minorHAnsi"/>
                                      <w:color w:val="2F5496" w:themeColor="accent1" w:themeShade="BF"/>
                                    </w:rPr>
                                  </w:pPr>
                                  <w:r w:rsidRPr="00A67AB2">
                                    <w:rPr>
                                      <w:rFonts w:asciiTheme="minorHAnsi" w:hAnsiTheme="minorHAnsi" w:cstheme="minorHAnsi"/>
                                      <w:b/>
                                      <w:color w:val="2F5496" w:themeColor="accent1" w:themeShade="BF"/>
                                      <w:sz w:val="18"/>
                                      <w:szCs w:val="18"/>
                                    </w:rPr>
                                    <w:t>Prisoners</w:t>
                                  </w:r>
                                </w:p>
                              </w:tc>
                            </w:tr>
                            <w:tr w:rsidR="00F83AE0" w:rsidTr="00A67AB2">
                              <w:tc>
                                <w:tcPr>
                                  <w:tcW w:w="5665" w:type="dxa"/>
                                </w:tcPr>
                                <w:p w:rsidR="00F83AE0" w:rsidRPr="00A67AB2" w:rsidRDefault="00F83AE0" w:rsidP="00DE2A58">
                                  <w:pPr>
                                    <w:numPr>
                                      <w:ilvl w:val="0"/>
                                      <w:numId w:val="12"/>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Increase coverage of preventive services</w:t>
                                  </w:r>
                                </w:p>
                                <w:p w:rsidR="00F83AE0" w:rsidRPr="00A67AB2" w:rsidRDefault="00F83AE0" w:rsidP="00DE2A58">
                                  <w:pPr>
                                    <w:numPr>
                                      <w:ilvl w:val="1"/>
                                      <w:numId w:val="12"/>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 xml:space="preserve">Behavior change communication and counseling services </w:t>
                                  </w:r>
                                </w:p>
                                <w:p w:rsidR="00F83AE0" w:rsidRPr="00A67AB2" w:rsidRDefault="00F83AE0" w:rsidP="00DE2A58">
                                  <w:pPr>
                                    <w:numPr>
                                      <w:ilvl w:val="0"/>
                                      <w:numId w:val="12"/>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Increase access to condoms and lubricants</w:t>
                                  </w:r>
                                </w:p>
                                <w:p w:rsidR="00F83AE0" w:rsidRPr="00A67AB2" w:rsidRDefault="00F83AE0" w:rsidP="00DE2A58">
                                  <w:pPr>
                                    <w:numPr>
                                      <w:ilvl w:val="0"/>
                                      <w:numId w:val="12"/>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Increase access to harm reduction services</w:t>
                                  </w:r>
                                </w:p>
                                <w:p w:rsidR="00F83AE0" w:rsidRPr="00A67AB2" w:rsidRDefault="00F83AE0" w:rsidP="00DE2A58">
                                  <w:pPr>
                                    <w:numPr>
                                      <w:ilvl w:val="0"/>
                                      <w:numId w:val="12"/>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OST</w:t>
                                  </w:r>
                                </w:p>
                                <w:p w:rsidR="00F83AE0" w:rsidRPr="00A67AB2" w:rsidRDefault="00F83AE0" w:rsidP="00DE2A58">
                                  <w:pPr>
                                    <w:numPr>
                                      <w:ilvl w:val="0"/>
                                      <w:numId w:val="12"/>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 xml:space="preserve">PrEP expansion </w:t>
                                  </w:r>
                                </w:p>
                                <w:p w:rsidR="00F83AE0" w:rsidRPr="00A67AB2" w:rsidRDefault="00F83AE0" w:rsidP="00A67AB2">
                                  <w:pPr>
                                    <w:jc w:val="both"/>
                                    <w:rPr>
                                      <w:rFonts w:asciiTheme="minorHAnsi" w:hAnsiTheme="minorHAnsi" w:cstheme="minorHAnsi"/>
                                      <w:color w:val="2F5496" w:themeColor="accent1" w:themeShade="BF"/>
                                    </w:rPr>
                                  </w:pPr>
                                </w:p>
                              </w:tc>
                            </w:tr>
                          </w:tbl>
                          <w:p w:rsidR="00F83AE0" w:rsidRPr="00092F80" w:rsidRDefault="00F83AE0" w:rsidP="00DE2A58">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Text Box 33" o:spid="_x0000_s1032" style="position:absolute;margin-left:41.45pt;margin-top:3.9pt;width:317.95pt;height:10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" fillcolor="white [3201]" strokecolor="#5b9bd5 [3208]" strokeweight="1pt">
                <v:stroke joinstyle="miter"/>
                <v:textbo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F83AE0" w:rsidTr="00A67AB2">
                        <w:tc>
                          <w:tcPr>
                            <w:tcW w:w="5665" w:type="dxa"/>
                          </w:tcPr>
                          <w:p w:rsidR="00F83AE0" w:rsidRPr="00A67AB2" w:rsidRDefault="00F83AE0" w:rsidP="00A67AB2">
                            <w:pPr>
                              <w:jc w:val="center"/>
                              <w:rPr>
                                <w:rFonts w:asciiTheme="minorHAnsi" w:hAnsiTheme="minorHAnsi" w:cstheme="minorHAnsi"/>
                                <w:color w:val="2F5496" w:themeColor="accent1" w:themeShade="BF"/>
                              </w:rPr>
                            </w:pPr>
                            <w:r w:rsidRPr="00A67AB2">
                              <w:rPr>
                                <w:rFonts w:asciiTheme="minorHAnsi" w:hAnsiTheme="minorHAnsi" w:cstheme="minorHAnsi"/>
                                <w:b/>
                                <w:color w:val="2F5496" w:themeColor="accent1" w:themeShade="BF"/>
                                <w:sz w:val="18"/>
                                <w:szCs w:val="18"/>
                              </w:rPr>
                              <w:t>Prisoners</w:t>
                            </w:r>
                          </w:p>
                        </w:tc>
                      </w:tr>
                      <w:tr w:rsidR="00F83AE0" w:rsidTr="00A67AB2">
                        <w:tc>
                          <w:tcPr>
                            <w:tcW w:w="5665" w:type="dxa"/>
                          </w:tcPr>
                          <w:p w:rsidR="00F83AE0" w:rsidRPr="00A67AB2" w:rsidRDefault="00F83AE0" w:rsidP="00DE2A58">
                            <w:pPr>
                              <w:numPr>
                                <w:ilvl w:val="0"/>
                                <w:numId w:val="12"/>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Increase coverage of preventive services</w:t>
                            </w:r>
                          </w:p>
                          <w:p w:rsidR="00F83AE0" w:rsidRPr="00A67AB2" w:rsidRDefault="00F83AE0" w:rsidP="00DE2A58">
                            <w:pPr>
                              <w:numPr>
                                <w:ilvl w:val="1"/>
                                <w:numId w:val="12"/>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 xml:space="preserve">Behavior change communication and counseling services </w:t>
                            </w:r>
                          </w:p>
                          <w:p w:rsidR="00F83AE0" w:rsidRPr="00A67AB2" w:rsidRDefault="00F83AE0" w:rsidP="00DE2A58">
                            <w:pPr>
                              <w:numPr>
                                <w:ilvl w:val="0"/>
                                <w:numId w:val="12"/>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Increase access to condoms and lubricants</w:t>
                            </w:r>
                          </w:p>
                          <w:p w:rsidR="00F83AE0" w:rsidRPr="00A67AB2" w:rsidRDefault="00F83AE0" w:rsidP="00DE2A58">
                            <w:pPr>
                              <w:numPr>
                                <w:ilvl w:val="0"/>
                                <w:numId w:val="12"/>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Increase access to harm reduction services</w:t>
                            </w:r>
                          </w:p>
                          <w:p w:rsidR="00F83AE0" w:rsidRPr="00A67AB2" w:rsidRDefault="00F83AE0" w:rsidP="00DE2A58">
                            <w:pPr>
                              <w:numPr>
                                <w:ilvl w:val="0"/>
                                <w:numId w:val="12"/>
                              </w:numPr>
                              <w:rPr>
                                <w:rFonts w:asciiTheme="minorHAnsi" w:hAnsiTheme="minorHAnsi"/>
                                <w:color w:val="2F5496" w:themeColor="accent1" w:themeShade="BF"/>
                                <w:sz w:val="18"/>
                                <w:szCs w:val="18"/>
                              </w:rPr>
                            </w:pPr>
                            <w:r w:rsidRPr="00A67AB2">
                              <w:rPr>
                                <w:rFonts w:asciiTheme="minorHAnsi" w:hAnsiTheme="minorHAnsi"/>
                                <w:color w:val="2F5496" w:themeColor="accent1" w:themeShade="BF"/>
                                <w:sz w:val="18"/>
                                <w:szCs w:val="18"/>
                              </w:rPr>
                              <w:t>OST</w:t>
                            </w:r>
                          </w:p>
                          <w:p w:rsidR="00F83AE0" w:rsidRPr="00A67AB2" w:rsidRDefault="00F83AE0" w:rsidP="00DE2A58">
                            <w:pPr>
                              <w:numPr>
                                <w:ilvl w:val="0"/>
                                <w:numId w:val="12"/>
                              </w:numPr>
                              <w:jc w:val="both"/>
                              <w:rPr>
                                <w:rFonts w:asciiTheme="minorHAnsi" w:hAnsiTheme="minorHAnsi" w:cstheme="minorHAnsi"/>
                                <w:color w:val="2F5496" w:themeColor="accent1" w:themeShade="BF"/>
                                <w:sz w:val="18"/>
                                <w:szCs w:val="18"/>
                              </w:rPr>
                            </w:pPr>
                            <w:r w:rsidRPr="00A67AB2">
                              <w:rPr>
                                <w:rFonts w:asciiTheme="minorHAnsi" w:hAnsiTheme="minorHAnsi" w:cstheme="minorHAnsi"/>
                                <w:color w:val="2F5496" w:themeColor="accent1" w:themeShade="BF"/>
                                <w:sz w:val="18"/>
                                <w:szCs w:val="18"/>
                              </w:rPr>
                              <w:t xml:space="preserve">PrEP expansion </w:t>
                            </w:r>
                          </w:p>
                          <w:p w:rsidR="00F83AE0" w:rsidRPr="00A67AB2" w:rsidRDefault="00F83AE0" w:rsidP="00A67AB2">
                            <w:pPr>
                              <w:jc w:val="both"/>
                              <w:rPr>
                                <w:rFonts w:asciiTheme="minorHAnsi" w:hAnsiTheme="minorHAnsi" w:cstheme="minorHAnsi"/>
                                <w:color w:val="2F5496" w:themeColor="accent1" w:themeShade="BF"/>
                              </w:rPr>
                            </w:pPr>
                          </w:p>
                        </w:tc>
                      </w:tr>
                    </w:tbl>
                    <w:p w:rsidR="00F83AE0" w:rsidRPr="00092F80" w:rsidRDefault="00F83AE0" w:rsidP="00DE2A58">
                      <w:pPr>
                        <w:rPr>
                          <w:color w:val="2F5496" w:themeColor="accent1" w:themeShade="BF"/>
                        </w:rPr>
                      </w:pPr>
                    </w:p>
                  </w:txbxContent>
                </v:textbox>
              </v:roundrect>
            </w:pict>
          </mc:Fallback>
        </mc:AlternateContent>
      </w:r>
    </w:p>
    <w:p w:rsidR="000A24CA" w:rsidRDefault="000A24CA" w:rsidP="003A13A6">
      <w:pPr>
        <w:pStyle w:val="Default"/>
        <w:rPr>
          <w:rFonts w:asciiTheme="minorHAnsi" w:hAnsiTheme="minorHAnsi" w:cstheme="minorHAnsi"/>
          <w:sz w:val="22"/>
          <w:szCs w:val="22"/>
          <w:lang w:val="en-GB"/>
        </w:rPr>
      </w:pPr>
    </w:p>
    <w:p w:rsidR="000A24CA" w:rsidRDefault="000A24CA" w:rsidP="003A13A6">
      <w:pPr>
        <w:pStyle w:val="Default"/>
        <w:rPr>
          <w:rFonts w:asciiTheme="minorHAnsi" w:hAnsiTheme="minorHAnsi" w:cstheme="minorHAnsi"/>
          <w:sz w:val="22"/>
          <w:szCs w:val="22"/>
          <w:lang w:val="en-GB"/>
        </w:rPr>
      </w:pPr>
    </w:p>
    <w:p w:rsidR="00DE2A58" w:rsidRDefault="00DE2A58" w:rsidP="003A13A6">
      <w:pPr>
        <w:pStyle w:val="Default"/>
        <w:rPr>
          <w:rFonts w:asciiTheme="minorHAnsi" w:hAnsiTheme="minorHAnsi" w:cstheme="minorHAnsi"/>
          <w:sz w:val="22"/>
          <w:szCs w:val="22"/>
          <w:lang w:val="en-GB"/>
        </w:rPr>
      </w:pPr>
    </w:p>
    <w:p w:rsidR="00DE2A58" w:rsidRDefault="00DE2A58" w:rsidP="003A13A6">
      <w:pPr>
        <w:pStyle w:val="Default"/>
        <w:rPr>
          <w:rFonts w:asciiTheme="minorHAnsi" w:hAnsiTheme="minorHAnsi" w:cstheme="minorHAnsi"/>
          <w:sz w:val="22"/>
          <w:szCs w:val="22"/>
          <w:lang w:val="en-GB"/>
        </w:rPr>
      </w:pPr>
    </w:p>
    <w:p w:rsidR="00DE2A58" w:rsidRDefault="00DE2A58" w:rsidP="003A13A6">
      <w:pPr>
        <w:pStyle w:val="Default"/>
        <w:rPr>
          <w:rFonts w:asciiTheme="minorHAnsi" w:hAnsiTheme="minorHAnsi" w:cstheme="minorHAnsi"/>
          <w:sz w:val="22"/>
          <w:szCs w:val="22"/>
          <w:lang w:val="en-GB"/>
        </w:rPr>
      </w:pPr>
    </w:p>
    <w:p w:rsidR="00D43135" w:rsidRDefault="00D43135" w:rsidP="002E05F5">
      <w:pPr>
        <w:pStyle w:val="Heading3"/>
        <w:rPr>
          <w:lang w:val="en-GB"/>
        </w:rPr>
      </w:pPr>
    </w:p>
    <w:p w:rsidR="00EF399D" w:rsidRDefault="00EF399D" w:rsidP="002E05F5">
      <w:pPr>
        <w:pStyle w:val="Heading3"/>
        <w:rPr>
          <w:lang w:val="en-GB"/>
        </w:rPr>
      </w:pPr>
    </w:p>
    <w:p w:rsidR="002A4C45" w:rsidRDefault="002A4C45" w:rsidP="002E05F5">
      <w:pPr>
        <w:pStyle w:val="Heading3"/>
        <w:rPr>
          <w:lang w:val="en-GB"/>
        </w:rPr>
      </w:pPr>
    </w:p>
    <w:p w:rsidR="002E05F5" w:rsidRDefault="00F83AE0" w:rsidP="002E05F5">
      <w:pPr>
        <w:pStyle w:val="Heading3"/>
        <w:rPr>
          <w:lang w:val="en-GB"/>
        </w:rPr>
      </w:pPr>
      <w:bookmarkStart w:id="19" w:name="_Toc517018623"/>
      <w:r>
        <w:rPr>
          <w:lang w:val="en-GB"/>
        </w:rPr>
        <w:t>EMTCT</w:t>
      </w:r>
      <w:bookmarkEnd w:id="19"/>
    </w:p>
    <w:p w:rsidR="001450BF" w:rsidRDefault="001450BF" w:rsidP="001450BF">
      <w:pPr>
        <w:rPr>
          <w:rFonts w:asciiTheme="minorHAnsi" w:hAnsiTheme="minorHAnsi" w:cstheme="minorHAnsi"/>
          <w:sz w:val="22"/>
          <w:szCs w:val="22"/>
        </w:rPr>
      </w:pPr>
    </w:p>
    <w:p w:rsidR="001450BF" w:rsidRDefault="00F83AE0" w:rsidP="001450BF">
      <w:pPr>
        <w:rPr>
          <w:rFonts w:asciiTheme="minorHAnsi" w:hAnsiTheme="minorHAnsi" w:cstheme="minorHAnsi"/>
          <w:sz w:val="22"/>
          <w:szCs w:val="22"/>
          <w:lang w:val="ka-GE"/>
        </w:rPr>
      </w:pPr>
      <w:r w:rsidRPr="001450BF">
        <w:rPr>
          <w:rFonts w:asciiTheme="minorHAnsi" w:hAnsiTheme="minorHAnsi" w:cstheme="minorHAnsi"/>
          <w:sz w:val="22"/>
          <w:szCs w:val="22"/>
        </w:rPr>
        <w:t>To achieve the elimination of HIV and syphilis transmission from mother to child by 2020 requires the improvement and expansion of the existent respective services, improvement of coordination of various field programs, introduction of integrated approaches, timely detection of HIV and syphilis cases in pregnant women, quality improvement of services concerning treatment and surveillance, introduction of modern approaches of laboratory diagnostics for these diseases, surveillance of elimination processes, development of evaluation system and required monitoring for validation of elimination by WHO.</w:t>
      </w:r>
      <w:r>
        <w:rPr>
          <w:rFonts w:asciiTheme="minorHAnsi" w:hAnsiTheme="minorHAnsi" w:cstheme="minorHAnsi"/>
          <w:sz w:val="22"/>
          <w:szCs w:val="22"/>
        </w:rPr>
        <w:t xml:space="preserve"> </w:t>
      </w:r>
      <w:r w:rsidR="0079793E" w:rsidRPr="0079793E">
        <w:rPr>
          <w:rFonts w:asciiTheme="minorHAnsi" w:hAnsiTheme="minorHAnsi" w:cstheme="minorHAnsi"/>
          <w:sz w:val="22"/>
          <w:szCs w:val="22"/>
        </w:rPr>
        <w:t>Throughout</w:t>
      </w:r>
      <w:r w:rsidR="0079793E" w:rsidRPr="0079793E">
        <w:rPr>
          <w:rFonts w:asciiTheme="minorHAnsi" w:hAnsiTheme="minorHAnsi" w:cstheme="minorHAnsi"/>
          <w:sz w:val="22"/>
          <w:szCs w:val="22"/>
          <w:lang w:val="ka-GE"/>
        </w:rPr>
        <w:t xml:space="preserve"> September-October, 2017, National Center for Disease Control and Public Health in collaboration with Ministry of Labour, Health and Social Affairs evaluated the readiness for Elimination of HIV and syphilis transmission from mother to child in Georgia with the means of WHO validation</w:t>
      </w:r>
      <w:r w:rsidR="0079793E" w:rsidRPr="0079793E">
        <w:rPr>
          <w:rFonts w:asciiTheme="minorHAnsi" w:hAnsiTheme="minorHAnsi" w:cstheme="minorHAnsi"/>
          <w:sz w:val="22"/>
          <w:szCs w:val="22"/>
        </w:rPr>
        <w:t xml:space="preserve"> of elimination</w:t>
      </w:r>
      <w:r w:rsidR="0079793E" w:rsidRPr="0079793E">
        <w:rPr>
          <w:rFonts w:asciiTheme="minorHAnsi" w:hAnsiTheme="minorHAnsi" w:cstheme="minorHAnsi"/>
          <w:sz w:val="22"/>
          <w:szCs w:val="22"/>
          <w:lang w:val="ka-GE"/>
        </w:rPr>
        <w:t xml:space="preserve"> questionnaire. </w:t>
      </w:r>
      <w:r w:rsidRPr="001450BF">
        <w:rPr>
          <w:rFonts w:asciiTheme="minorHAnsi" w:hAnsiTheme="minorHAnsi" w:cstheme="minorHAnsi"/>
          <w:sz w:val="22"/>
          <w:szCs w:val="22"/>
          <w:lang w:val="ka-GE"/>
        </w:rPr>
        <w:t>According to the National Strategy, by the order N 01-157/</w:t>
      </w:r>
      <w:r>
        <w:rPr>
          <w:rFonts w:ascii="Sylfaen" w:hAnsi="Sylfaen" w:cs="Sylfaen"/>
          <w:sz w:val="22"/>
          <w:szCs w:val="22"/>
        </w:rPr>
        <w:t>o</w:t>
      </w:r>
      <w:r w:rsidRPr="001450BF">
        <w:rPr>
          <w:rFonts w:asciiTheme="minorHAnsi" w:hAnsiTheme="minorHAnsi" w:cstheme="minorHAnsi"/>
          <w:sz w:val="22"/>
          <w:szCs w:val="22"/>
          <w:lang w:val="ka-GE"/>
        </w:rPr>
        <w:t>, 2017, July 7 of Minister of Labour, Health and Social Affairs, National Committee of Elimination of HIV and syphilis transmission from mother to child was established, and the regulation of Committee activities was approved.</w:t>
      </w:r>
    </w:p>
    <w:p w:rsidR="001450BF" w:rsidRPr="00AF6F2C" w:rsidRDefault="001450BF" w:rsidP="001450BF">
      <w:pPr>
        <w:rPr>
          <w:rFonts w:ascii="Sylfaen" w:hAnsi="Sylfaen"/>
          <w:lang w:val="ka-GE"/>
        </w:rPr>
      </w:pPr>
    </w:p>
    <w:p w:rsidR="00857BCB" w:rsidRPr="009D2FDE" w:rsidRDefault="00F83AE0" w:rsidP="00857BCB">
      <w:pPr>
        <w:autoSpaceDE w:val="0"/>
        <w:autoSpaceDN w:val="0"/>
        <w:adjustRightInd w:val="0"/>
        <w:rPr>
          <w:rFonts w:asciiTheme="minorHAnsi" w:hAnsiTheme="minorHAnsi" w:cstheme="minorHAnsi"/>
          <w:bCs/>
          <w:color w:val="000000"/>
          <w:sz w:val="22"/>
          <w:szCs w:val="22"/>
        </w:rPr>
      </w:pPr>
      <w:r w:rsidRPr="001426DE">
        <w:rPr>
          <w:rFonts w:asciiTheme="minorHAnsi" w:hAnsiTheme="minorHAnsi" w:cstheme="minorHAnsi"/>
          <w:bCs/>
          <w:color w:val="000000"/>
          <w:sz w:val="22"/>
          <w:szCs w:val="22"/>
        </w:rPr>
        <w:t>Georgia has the ambition to declare the elimination of vertical transmission cases; there has not been detected any case during 2016 and 2017</w:t>
      </w:r>
      <w:r>
        <w:rPr>
          <w:rFonts w:asciiTheme="minorHAnsi" w:hAnsiTheme="minorHAnsi" w:cstheme="minorHAnsi"/>
          <w:bCs/>
          <w:color w:val="000000"/>
          <w:sz w:val="22"/>
          <w:szCs w:val="22"/>
        </w:rPr>
        <w:t>. MoLHSA has developed and the Maternal and Child Care Strategy, that covers EMTCT activities, Thus those are not covered in NSP.</w:t>
      </w:r>
    </w:p>
    <w:p w:rsidR="00D367C9" w:rsidRDefault="00D367C9" w:rsidP="00A13DF4">
      <w:pPr>
        <w:pStyle w:val="Heading3"/>
      </w:pPr>
    </w:p>
    <w:p w:rsidR="0079793E" w:rsidRPr="0079793E" w:rsidRDefault="00F83AE0" w:rsidP="00A13DF4">
      <w:pPr>
        <w:pStyle w:val="Heading3"/>
      </w:pPr>
      <w:bookmarkStart w:id="20" w:name="_Toc517018624"/>
      <w:r>
        <w:t>Safe Blood</w:t>
      </w:r>
      <w:bookmarkEnd w:id="20"/>
    </w:p>
    <w:p w:rsidR="0079793E" w:rsidRPr="004D7793" w:rsidRDefault="0079793E" w:rsidP="003A13A6">
      <w:pPr>
        <w:pStyle w:val="Default"/>
        <w:rPr>
          <w:rFonts w:asciiTheme="minorHAnsi" w:hAnsiTheme="minorHAnsi" w:cstheme="minorHAnsi"/>
          <w:sz w:val="22"/>
          <w:szCs w:val="22"/>
        </w:rPr>
      </w:pPr>
    </w:p>
    <w:p w:rsidR="000F4CC7" w:rsidRDefault="00F83AE0" w:rsidP="000F4CC7">
      <w:pPr>
        <w:spacing w:line="276" w:lineRule="auto"/>
        <w:rPr>
          <w:rFonts w:asciiTheme="minorHAnsi" w:hAnsiTheme="minorHAnsi" w:cstheme="minorHAnsi"/>
          <w:sz w:val="22"/>
          <w:szCs w:val="22"/>
        </w:rPr>
      </w:pPr>
      <w:r w:rsidRPr="000F4CC7">
        <w:rPr>
          <w:rFonts w:asciiTheme="minorHAnsi" w:hAnsiTheme="minorHAnsi" w:cstheme="minorHAnsi"/>
          <w:sz w:val="22"/>
          <w:szCs w:val="22"/>
        </w:rPr>
        <w:t xml:space="preserve">Safe Blood Program was initiated in 1997 in Georgia to ensure the safety of blood and blood components through high-quality testing of donor blood for HCV, HBV, HIV, and syphilis and increasing the proportion of voluntary, non-remunerated donations. Currently, the total of 22 blood establishments are licensed to collect and process blood and blood components </w:t>
      </w:r>
      <w:r w:rsidRPr="000F4CC7">
        <w:rPr>
          <w:rFonts w:asciiTheme="minorHAnsi" w:hAnsiTheme="minorHAnsi" w:cstheme="minorHAnsi"/>
          <w:color w:val="000000"/>
          <w:sz w:val="22"/>
          <w:szCs w:val="22"/>
        </w:rPr>
        <w:t xml:space="preserve">in Georgia, but only 15 blood banks participate in the State Safe Blood Program, that requests and monitories </w:t>
      </w:r>
      <w:r w:rsidRPr="000F4CC7">
        <w:rPr>
          <w:rFonts w:asciiTheme="minorHAnsi" w:hAnsiTheme="minorHAnsi" w:cstheme="minorHAnsi"/>
          <w:sz w:val="22"/>
          <w:szCs w:val="22"/>
        </w:rPr>
        <w:t xml:space="preserve">screening of all blood donation for HIV infection by ELISA/EIA method and provides routine external quality control for blood testing. </w:t>
      </w:r>
    </w:p>
    <w:p w:rsidR="000F4CC7" w:rsidRPr="000F4CC7" w:rsidRDefault="000F4CC7" w:rsidP="000F4CC7">
      <w:pPr>
        <w:spacing w:line="276" w:lineRule="auto"/>
        <w:rPr>
          <w:rFonts w:asciiTheme="minorHAnsi" w:hAnsiTheme="minorHAnsi" w:cstheme="minorHAnsi"/>
          <w:sz w:val="22"/>
          <w:szCs w:val="22"/>
        </w:rPr>
      </w:pPr>
    </w:p>
    <w:p w:rsidR="000F4CC7" w:rsidRPr="000F4CC7" w:rsidRDefault="00F83AE0" w:rsidP="000F4CC7">
      <w:pPr>
        <w:spacing w:line="276" w:lineRule="auto"/>
        <w:rPr>
          <w:rFonts w:asciiTheme="minorHAnsi" w:hAnsiTheme="minorHAnsi" w:cstheme="minorHAnsi"/>
          <w:sz w:val="22"/>
          <w:szCs w:val="22"/>
        </w:rPr>
      </w:pPr>
      <w:r w:rsidRPr="000F4CC7">
        <w:rPr>
          <w:rFonts w:asciiTheme="minorHAnsi" w:hAnsiTheme="minorHAnsi" w:cstheme="minorHAnsi"/>
          <w:sz w:val="22"/>
          <w:szCs w:val="22"/>
        </w:rPr>
        <w:t xml:space="preserve">Since 2005, with the initial support of the Global Fund, an Electronic Blood Donor Database operates in the country where donation information, donor demographics, and testing records are incorporated enabling traceability of transfusion-transmissible infections according to the vein to vein principles. From 2017, all blood establishments are required to be involved in the Donor Database that gives the country full picture of blood donation screening results.  </w:t>
      </w:r>
      <w:r w:rsidRPr="000F4CC7">
        <w:rPr>
          <w:rFonts w:asciiTheme="minorHAnsi" w:hAnsiTheme="minorHAnsi" w:cstheme="minorHAnsi"/>
          <w:color w:val="000000"/>
          <w:sz w:val="22"/>
          <w:szCs w:val="22"/>
        </w:rPr>
        <w:t>Based on statistical data of 2015-2017, the number of blood donors has gradually increased, while HIV positive cases among donor population show a steady decrease ranging from 0.04% in 2015 to 0.02% in 2017.</w:t>
      </w:r>
    </w:p>
    <w:p w:rsidR="00D24CFE" w:rsidRDefault="00D24CFE" w:rsidP="003A13A6">
      <w:pPr>
        <w:pStyle w:val="Default"/>
        <w:rPr>
          <w:rFonts w:asciiTheme="minorHAnsi" w:hAnsiTheme="minorHAnsi" w:cstheme="minorHAnsi"/>
          <w:sz w:val="22"/>
          <w:szCs w:val="22"/>
        </w:rPr>
      </w:pPr>
    </w:p>
    <w:p w:rsidR="00ED2A6A" w:rsidRDefault="00F83AE0" w:rsidP="0027481C">
      <w:pPr>
        <w:pStyle w:val="Heading3"/>
      </w:pPr>
      <w:bookmarkStart w:id="21" w:name="_Toc517018625"/>
      <w:r>
        <w:t>Hepatitis C</w:t>
      </w:r>
      <w:bookmarkEnd w:id="21"/>
    </w:p>
    <w:p w:rsidR="00B525C2" w:rsidRPr="00F62C74" w:rsidRDefault="00F83AE0" w:rsidP="00B525C2">
      <w:pPr>
        <w:shd w:val="clear" w:color="auto" w:fill="FFFFFF"/>
        <w:spacing w:before="240" w:after="240"/>
        <w:rPr>
          <w:rFonts w:asciiTheme="minorHAnsi" w:hAnsiTheme="minorHAnsi" w:cs="Arial"/>
          <w:color w:val="000000" w:themeColor="text1"/>
          <w:sz w:val="22"/>
          <w:szCs w:val="22"/>
        </w:rPr>
      </w:pPr>
      <w:r w:rsidRPr="00F62C74">
        <w:rPr>
          <w:rFonts w:asciiTheme="minorHAnsi" w:hAnsiTheme="minorHAnsi" w:cs="Arial"/>
          <w:color w:val="000000" w:themeColor="text1"/>
          <w:sz w:val="22"/>
          <w:szCs w:val="22"/>
        </w:rPr>
        <w:t>I</w:t>
      </w:r>
      <w:r w:rsidR="00AF53C4" w:rsidRPr="00F62C74">
        <w:rPr>
          <w:rFonts w:asciiTheme="minorHAnsi" w:hAnsiTheme="minorHAnsi" w:cs="Arial"/>
          <w:color w:val="000000" w:themeColor="text1"/>
          <w:sz w:val="22"/>
          <w:szCs w:val="22"/>
        </w:rPr>
        <w:t>n April 2015, Georgia launched a h</w:t>
      </w:r>
      <w:r w:rsidRPr="00F62C74">
        <w:rPr>
          <w:rFonts w:asciiTheme="minorHAnsi" w:hAnsiTheme="minorHAnsi" w:cs="Arial"/>
          <w:color w:val="000000" w:themeColor="text1"/>
          <w:sz w:val="22"/>
          <w:szCs w:val="22"/>
        </w:rPr>
        <w:t>epatitis C elimination program</w:t>
      </w:r>
      <w:r w:rsidR="00AF53C4" w:rsidRPr="00F62C74">
        <w:rPr>
          <w:rFonts w:asciiTheme="minorHAnsi" w:hAnsiTheme="minorHAnsi" w:cs="Arial"/>
          <w:color w:val="000000" w:themeColor="text1"/>
          <w:sz w:val="22"/>
          <w:szCs w:val="22"/>
        </w:rPr>
        <w:t xml:space="preserve"> by making the new curative treatment available to people infected with hepatitis C virus (HCV) and suffering from the severe liver disease. </w:t>
      </w:r>
      <w:r w:rsidRPr="00F62C74">
        <w:rPr>
          <w:rFonts w:asciiTheme="minorHAnsi" w:hAnsiTheme="minorHAnsi" w:cs="Arial"/>
          <w:color w:val="000000" w:themeColor="text1"/>
          <w:sz w:val="22"/>
          <w:szCs w:val="22"/>
        </w:rPr>
        <w:t xml:space="preserve"> </w:t>
      </w:r>
      <w:r w:rsidR="00AF53C4" w:rsidRPr="00F62C74">
        <w:rPr>
          <w:rFonts w:asciiTheme="minorHAnsi" w:hAnsiTheme="minorHAnsi" w:cs="Arial"/>
          <w:color w:val="000000" w:themeColor="text1"/>
          <w:sz w:val="22"/>
          <w:szCs w:val="22"/>
        </w:rPr>
        <w:t>A combination of strong political will, public support, and experience gained in HIV prevention and c</w:t>
      </w:r>
      <w:r w:rsidRPr="00F62C74">
        <w:rPr>
          <w:rFonts w:asciiTheme="minorHAnsi" w:hAnsiTheme="minorHAnsi" w:cs="Arial"/>
          <w:color w:val="000000" w:themeColor="text1"/>
          <w:sz w:val="22"/>
          <w:szCs w:val="22"/>
        </w:rPr>
        <w:t>ontrol to this new program</w:t>
      </w:r>
      <w:r w:rsidR="00AF53C4" w:rsidRPr="00F62C74">
        <w:rPr>
          <w:rFonts w:asciiTheme="minorHAnsi" w:hAnsiTheme="minorHAnsi" w:cs="Arial"/>
          <w:color w:val="000000" w:themeColor="text1"/>
          <w:sz w:val="22"/>
          <w:szCs w:val="22"/>
        </w:rPr>
        <w:t xml:space="preserve">. The Ministry of </w:t>
      </w:r>
      <w:r w:rsidRPr="00F62C74">
        <w:rPr>
          <w:rFonts w:asciiTheme="minorHAnsi" w:hAnsiTheme="minorHAnsi" w:cs="Arial"/>
          <w:color w:val="000000" w:themeColor="text1"/>
          <w:sz w:val="22"/>
          <w:szCs w:val="22"/>
        </w:rPr>
        <w:t>Labor</w:t>
      </w:r>
      <w:r w:rsidR="00AF53C4" w:rsidRPr="00F62C74">
        <w:rPr>
          <w:rFonts w:asciiTheme="minorHAnsi" w:hAnsiTheme="minorHAnsi" w:cs="Arial"/>
          <w:color w:val="000000" w:themeColor="text1"/>
          <w:sz w:val="22"/>
          <w:szCs w:val="22"/>
        </w:rPr>
        <w:t xml:space="preserve">, Health and Social Affairs is working with a pharmaceutical manufacturer to </w:t>
      </w:r>
      <w:r w:rsidRPr="00F62C74">
        <w:rPr>
          <w:rFonts w:asciiTheme="minorHAnsi" w:hAnsiTheme="minorHAnsi" w:cs="Arial"/>
          <w:color w:val="000000" w:themeColor="text1"/>
          <w:sz w:val="22"/>
          <w:szCs w:val="22"/>
        </w:rPr>
        <w:t xml:space="preserve">provide treatment to all in need </w:t>
      </w:r>
      <w:r w:rsidR="00AF53C4" w:rsidRPr="00F62C74">
        <w:rPr>
          <w:rFonts w:asciiTheme="minorHAnsi" w:hAnsiTheme="minorHAnsi" w:cs="Arial"/>
          <w:color w:val="000000" w:themeColor="text1"/>
          <w:sz w:val="22"/>
          <w:szCs w:val="22"/>
        </w:rPr>
        <w:t xml:space="preserve">free of charge. </w:t>
      </w:r>
    </w:p>
    <w:p w:rsidR="00AF53C4" w:rsidRPr="00F62C74" w:rsidRDefault="00F83AE0" w:rsidP="00B525C2">
      <w:pPr>
        <w:shd w:val="clear" w:color="auto" w:fill="FFFFFF"/>
        <w:spacing w:before="240" w:after="240"/>
        <w:rPr>
          <w:rFonts w:asciiTheme="minorHAnsi" w:hAnsiTheme="minorHAnsi" w:cs="Arial"/>
          <w:color w:val="000000" w:themeColor="text1"/>
          <w:sz w:val="22"/>
          <w:szCs w:val="22"/>
        </w:rPr>
      </w:pPr>
      <w:r w:rsidRPr="00F62C74">
        <w:rPr>
          <w:rFonts w:asciiTheme="minorHAnsi" w:hAnsiTheme="minorHAnsi" w:cs="Arial"/>
          <w:color w:val="000000" w:themeColor="text1"/>
          <w:sz w:val="22"/>
          <w:szCs w:val="22"/>
        </w:rPr>
        <w:t xml:space="preserve">Georgia </w:t>
      </w:r>
      <w:r w:rsidR="00C020F5" w:rsidRPr="00F62C74">
        <w:rPr>
          <w:rFonts w:asciiTheme="minorHAnsi" w:hAnsiTheme="minorHAnsi" w:cs="Arial"/>
          <w:color w:val="000000" w:themeColor="text1"/>
          <w:sz w:val="22"/>
          <w:szCs w:val="22"/>
        </w:rPr>
        <w:t>has developed Hep C elimination strategy</w:t>
      </w:r>
      <w:r>
        <w:rPr>
          <w:rStyle w:val="FootnoteReference"/>
          <w:rFonts w:asciiTheme="minorHAnsi" w:hAnsiTheme="minorHAnsi" w:cs="Arial"/>
          <w:color w:val="000000" w:themeColor="text1"/>
          <w:sz w:val="22"/>
          <w:szCs w:val="22"/>
        </w:rPr>
        <w:footnoteReference w:id="31"/>
      </w:r>
      <w:r w:rsidR="00C020F5" w:rsidRPr="00F62C74">
        <w:rPr>
          <w:rFonts w:asciiTheme="minorHAnsi" w:hAnsiTheme="minorHAnsi" w:cs="Arial"/>
          <w:color w:val="000000" w:themeColor="text1"/>
          <w:sz w:val="22"/>
          <w:szCs w:val="22"/>
        </w:rPr>
        <w:t xml:space="preserve">, </w:t>
      </w:r>
      <w:r w:rsidRPr="00F62C74">
        <w:rPr>
          <w:rFonts w:asciiTheme="minorHAnsi" w:hAnsiTheme="minorHAnsi" w:cs="Arial"/>
          <w:color w:val="000000" w:themeColor="text1"/>
          <w:sz w:val="22"/>
          <w:szCs w:val="22"/>
        </w:rPr>
        <w:t>prepare a comprehensive elimination plan that includes advocacy and communication, surveillance (including high-quality diagnostics) and prevention (e.g., infection control, blood safety, and harm reduction). Additionally, the Ministry has begun broader HCV control activities, including a campaign to raise awareness, provision of free HCV testing to detect infection in people who are unaware of their infection status and improved infection control practices.</w:t>
      </w:r>
    </w:p>
    <w:p w:rsidR="002667FF" w:rsidRPr="00F62C74" w:rsidRDefault="00F83AE0" w:rsidP="0027481C">
      <w:pPr>
        <w:rPr>
          <w:rFonts w:asciiTheme="minorHAnsi" w:hAnsiTheme="minorHAnsi"/>
          <w:color w:val="000000" w:themeColor="text1"/>
          <w:sz w:val="22"/>
          <w:szCs w:val="22"/>
        </w:rPr>
      </w:pPr>
      <w:r w:rsidRPr="00F62C74">
        <w:rPr>
          <w:rFonts w:asciiTheme="minorHAnsi" w:hAnsiTheme="minorHAnsi"/>
          <w:color w:val="000000" w:themeColor="text1"/>
          <w:sz w:val="22"/>
          <w:szCs w:val="22"/>
        </w:rPr>
        <w:t xml:space="preserve">Hep C screening is provided free of charge as well, </w:t>
      </w:r>
      <w:r w:rsidR="00C41BF4" w:rsidRPr="00F62C74">
        <w:rPr>
          <w:rFonts w:asciiTheme="minorHAnsi" w:hAnsiTheme="minorHAnsi"/>
          <w:color w:val="000000" w:themeColor="text1"/>
          <w:sz w:val="22"/>
          <w:szCs w:val="22"/>
        </w:rPr>
        <w:t>and this opportunity has to be used for expanding HIV testing through the integration of two programs. In two regions of the country, this approach is under the pilot at the moment and in case proves to be effective, will be expanded to the whole country.</w:t>
      </w:r>
    </w:p>
    <w:p w:rsidR="0027481C" w:rsidRPr="00F62C74" w:rsidRDefault="0027481C" w:rsidP="0027481C">
      <w:pPr>
        <w:rPr>
          <w:color w:val="000000" w:themeColor="text1"/>
        </w:rPr>
      </w:pPr>
    </w:p>
    <w:p w:rsidR="00D367C9" w:rsidRDefault="00F83AE0" w:rsidP="00ED2A6A">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6672" behindDoc="0" locked="0" layoutInCell="1" allowOverlap="1">
                <wp:simplePos x="0" y="0"/>
                <wp:positionH relativeFrom="column">
                  <wp:posOffset>-40871</wp:posOffset>
                </wp:positionH>
                <wp:positionV relativeFrom="paragraph">
                  <wp:posOffset>169545</wp:posOffset>
                </wp:positionV>
                <wp:extent cx="5710096" cy="1900361"/>
                <wp:effectExtent l="0" t="0" r="17780" b="17780"/>
                <wp:wrapNone/>
                <wp:docPr id="34" name="Text Box 34"/>
                <wp:cNvGraphicFramePr/>
                <a:graphic xmlns:a="http://schemas.openxmlformats.org/drawingml/2006/main">
                  <a:graphicData uri="http://schemas.microsoft.com/office/word/2010/wordprocessingShape">
                    <wps:wsp>
                      <wps:cNvSpPr txBox="1"/>
                      <wps:spPr>
                        <a:xfrm>
                          <a:off x="0" y="0"/>
                          <a:ext cx="5710096" cy="1900361"/>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F83AE0" w:rsidRPr="00D367C9" w:rsidRDefault="00F83AE0" w:rsidP="00D367C9">
                            <w:pPr>
                              <w:jc w:val="center"/>
                              <w:rPr>
                                <w:rFonts w:ascii="Calibri" w:hAnsi="Calibri" w:cs="Calibri"/>
                                <w:b/>
                                <w:color w:val="2F5496" w:themeColor="accent1" w:themeShade="BF"/>
                                <w:sz w:val="21"/>
                                <w:szCs w:val="21"/>
                              </w:rPr>
                            </w:pPr>
                            <w:r w:rsidRPr="00D367C9">
                              <w:rPr>
                                <w:rFonts w:ascii="Calibri" w:hAnsi="Calibri" w:cs="Calibri"/>
                                <w:b/>
                                <w:color w:val="2F5496" w:themeColor="accent1" w:themeShade="BF"/>
                                <w:sz w:val="21"/>
                                <w:szCs w:val="21"/>
                              </w:rPr>
                              <w:t>The expected outcome of prevention interventions</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By the end of 2022, 90% of people living with HIV know their status</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The number of sterile syringe and needles distributed per PWID per year is increased from 73 to 110 by the end of 2022</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The number of MSM on PrEP is increased from 50 in 2017 to 1,000 MSM</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More than 90% of SWs are reporting the use of a condom with their most recent client</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By the end of 2022, 500,000 persons visiting health care services are tested for HIV through provider-initiated testing</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One hundred percent of blood units are screened for HIV in a quality assured mannered</w:t>
                            </w:r>
                          </w:p>
                          <w:p w:rsidR="00F83AE0" w:rsidRDefault="00F83AE0"/>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oundrect id="Text Box 34" o:spid="_x0000_s1033" style="position:absolute;margin-left:-3.2pt;margin-top:13.35pt;width:449.6pt;height:149.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" fillcolor="white [3201]" strokecolor="#4472c4 [3204]" strokeweight="1pt">
                <v:stroke joinstyle="miter"/>
                <v:textbox>
                  <w:txbxContent>
                    <w:p w:rsidR="00F83AE0" w:rsidRPr="00D367C9" w:rsidRDefault="00F83AE0" w:rsidP="00D367C9">
                      <w:pPr>
                        <w:jc w:val="center"/>
                        <w:rPr>
                          <w:rFonts w:ascii="Calibri" w:hAnsi="Calibri" w:cs="Calibri"/>
                          <w:b/>
                          <w:color w:val="2F5496" w:themeColor="accent1" w:themeShade="BF"/>
                          <w:sz w:val="21"/>
                          <w:szCs w:val="21"/>
                        </w:rPr>
                      </w:pPr>
                      <w:r w:rsidRPr="00D367C9">
                        <w:rPr>
                          <w:rFonts w:ascii="Calibri" w:hAnsi="Calibri" w:cs="Calibri"/>
                          <w:b/>
                          <w:color w:val="2F5496" w:themeColor="accent1" w:themeShade="BF"/>
                          <w:sz w:val="21"/>
                          <w:szCs w:val="21"/>
                        </w:rPr>
                        <w:t>The expected outcome of prevention interventions</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By the end of 2022, 90% of people living with HIV know their status</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The number of sterile syringe and needles distributed per PWID per year is increased from 73 to 110 by the end of 2022</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The number of MSM on PrEP is increased from 50 in 2017 to 1,000 MSM</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More than 90% of SWs are reporting the use of a condom with their most recent client</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By the end of 2022, 500,000 persons visiting health care services are tested for HIV through provider-initiated testing</w:t>
                      </w:r>
                    </w:p>
                    <w:p w:rsidR="00F83AE0" w:rsidRPr="00D367C9" w:rsidRDefault="00F83AE0" w:rsidP="00D367C9">
                      <w:pPr>
                        <w:pStyle w:val="ListParagraph"/>
                        <w:numPr>
                          <w:ilvl w:val="0"/>
                          <w:numId w:val="30"/>
                        </w:numPr>
                        <w:spacing w:after="200" w:line="259" w:lineRule="auto"/>
                        <w:jc w:val="both"/>
                        <w:rPr>
                          <w:rFonts w:ascii="Calibri" w:hAnsi="Calibri" w:cs="Calibri"/>
                          <w:color w:val="2F5496" w:themeColor="accent1" w:themeShade="BF"/>
                          <w:sz w:val="21"/>
                          <w:szCs w:val="21"/>
                        </w:rPr>
                      </w:pPr>
                      <w:r w:rsidRPr="00D367C9">
                        <w:rPr>
                          <w:rFonts w:ascii="Calibri" w:hAnsi="Calibri" w:cs="Calibri"/>
                          <w:color w:val="2F5496" w:themeColor="accent1" w:themeShade="BF"/>
                          <w:sz w:val="21"/>
                          <w:szCs w:val="21"/>
                        </w:rPr>
                        <w:t>One hundred percent of blood units are screened for HIV in a quality assured mannered</w:t>
                      </w:r>
                    </w:p>
                    <w:p w:rsidR="00F83AE0" w:rsidRDefault="00F83AE0"/>
                  </w:txbxContent>
                </v:textbox>
              </v:roundrect>
            </w:pict>
          </mc:Fallback>
        </mc:AlternateContent>
      </w:r>
    </w:p>
    <w:p w:rsidR="00D367C9" w:rsidRDefault="00D367C9" w:rsidP="00ED2A6A">
      <w:pPr>
        <w:rPr>
          <w:rFonts w:asciiTheme="minorHAnsi" w:hAnsiTheme="minorHAnsi" w:cstheme="minorHAnsi"/>
          <w:sz w:val="22"/>
          <w:szCs w:val="22"/>
        </w:rPr>
      </w:pPr>
    </w:p>
    <w:p w:rsidR="00D367C9" w:rsidRDefault="00D367C9" w:rsidP="00ED2A6A">
      <w:pPr>
        <w:rPr>
          <w:rFonts w:asciiTheme="minorHAnsi" w:hAnsiTheme="minorHAnsi" w:cstheme="minorHAnsi"/>
          <w:sz w:val="22"/>
          <w:szCs w:val="22"/>
        </w:rPr>
      </w:pPr>
    </w:p>
    <w:p w:rsidR="00D367C9" w:rsidRDefault="00D367C9" w:rsidP="00ED2A6A">
      <w:pPr>
        <w:rPr>
          <w:rFonts w:asciiTheme="minorHAnsi" w:hAnsiTheme="minorHAnsi" w:cstheme="minorHAnsi"/>
          <w:sz w:val="22"/>
          <w:szCs w:val="22"/>
        </w:rPr>
      </w:pPr>
    </w:p>
    <w:p w:rsidR="00D367C9" w:rsidRDefault="00D367C9" w:rsidP="00ED2A6A">
      <w:pPr>
        <w:rPr>
          <w:rFonts w:asciiTheme="minorHAnsi" w:hAnsiTheme="minorHAnsi" w:cstheme="minorHAnsi"/>
          <w:sz w:val="22"/>
          <w:szCs w:val="22"/>
        </w:rPr>
      </w:pPr>
    </w:p>
    <w:p w:rsidR="00D367C9" w:rsidRDefault="00D367C9" w:rsidP="00ED2A6A">
      <w:pPr>
        <w:rPr>
          <w:rFonts w:asciiTheme="minorHAnsi" w:hAnsiTheme="minorHAnsi" w:cstheme="minorHAnsi"/>
          <w:sz w:val="22"/>
          <w:szCs w:val="22"/>
        </w:rPr>
      </w:pPr>
    </w:p>
    <w:p w:rsidR="00D367C9" w:rsidRDefault="00D367C9" w:rsidP="00ED2A6A">
      <w:pPr>
        <w:rPr>
          <w:rFonts w:asciiTheme="minorHAnsi" w:hAnsiTheme="minorHAnsi" w:cstheme="minorHAnsi"/>
          <w:sz w:val="22"/>
          <w:szCs w:val="22"/>
        </w:rPr>
      </w:pPr>
    </w:p>
    <w:p w:rsidR="00ED2A6A" w:rsidRPr="00ED2A6A" w:rsidRDefault="00ED2A6A" w:rsidP="00ED2A6A">
      <w:pPr>
        <w:rPr>
          <w:rFonts w:asciiTheme="minorHAnsi" w:hAnsiTheme="minorHAnsi" w:cstheme="minorHAnsi"/>
          <w:sz w:val="22"/>
          <w:szCs w:val="22"/>
        </w:rPr>
      </w:pPr>
    </w:p>
    <w:p w:rsidR="003D223D" w:rsidRPr="003D223D" w:rsidRDefault="00F83AE0" w:rsidP="00A3152C">
      <w:pPr>
        <w:pStyle w:val="Heading3"/>
        <w:numPr>
          <w:ilvl w:val="1"/>
          <w:numId w:val="2"/>
        </w:numPr>
      </w:pPr>
      <w:bookmarkStart w:id="22" w:name="_Toc517018626"/>
      <w:r>
        <w:rPr>
          <w:rFonts w:cstheme="minorHAnsi"/>
          <w:sz w:val="22"/>
          <w:szCs w:val="22"/>
        </w:rPr>
        <w:t>HIV Treatment and Care</w:t>
      </w:r>
      <w:r>
        <w:t xml:space="preserve">: </w:t>
      </w:r>
      <w:r w:rsidRPr="0052035C">
        <w:rPr>
          <w:sz w:val="22"/>
          <w:szCs w:val="22"/>
        </w:rPr>
        <w:t>Achievements and Remaining Challenges</w:t>
      </w:r>
      <w:bookmarkEnd w:id="22"/>
    </w:p>
    <w:p w:rsidR="003D223D" w:rsidRDefault="003D223D" w:rsidP="003D223D">
      <w:pPr>
        <w:pStyle w:val="Heading3"/>
      </w:pPr>
    </w:p>
    <w:p w:rsidR="003D223D" w:rsidRPr="00B17D58" w:rsidRDefault="00F83AE0" w:rsidP="00B17D58">
      <w:pPr>
        <w:rPr>
          <w:rFonts w:asciiTheme="minorHAnsi" w:hAnsiTheme="minorHAnsi" w:cstheme="majorBidi"/>
          <w:color w:val="1F3763" w:themeColor="accent1" w:themeShade="7F"/>
          <w:sz w:val="22"/>
          <w:szCs w:val="22"/>
        </w:rPr>
      </w:pPr>
      <w:r w:rsidRPr="00B17D58">
        <w:rPr>
          <w:rFonts w:asciiTheme="minorHAnsi" w:hAnsiTheme="minorHAnsi"/>
          <w:sz w:val="22"/>
          <w:szCs w:val="22"/>
        </w:rPr>
        <w:t xml:space="preserve">While detection remains a challenge, the country has achieved remarkable progress on the right side of cascade: Georgia is approaching fast-track targets for ART and viral suppression. ART coverage among diagnosed persons increased from 62% in 2015 to 81% in 2017. Viral suppression rates among those on treatment increased from 84% in 2015 </w:t>
      </w:r>
      <w:r w:rsidR="002C6223">
        <w:rPr>
          <w:rFonts w:asciiTheme="minorHAnsi" w:hAnsiTheme="minorHAnsi"/>
          <w:sz w:val="22"/>
          <w:szCs w:val="22"/>
        </w:rPr>
        <w:t xml:space="preserve">to </w:t>
      </w:r>
      <w:r w:rsidRPr="00B17D58">
        <w:rPr>
          <w:rFonts w:asciiTheme="minorHAnsi" w:hAnsiTheme="minorHAnsi"/>
          <w:sz w:val="22"/>
          <w:szCs w:val="22"/>
        </w:rPr>
        <w:t>50 89% in 2017. Provider-initiated HIV testing and counseling services cover patients with active TB, and almost 93% of them has been tested for HIV during last two years. The country is on the path to meet 12 month ART retention target of 90% by the end of 2018.</w:t>
      </w:r>
    </w:p>
    <w:p w:rsidR="003D223D" w:rsidRPr="003D223D" w:rsidRDefault="003D223D" w:rsidP="00AB3C20">
      <w:pPr>
        <w:pStyle w:val="ListParagraph"/>
        <w:autoSpaceDE w:val="0"/>
        <w:autoSpaceDN w:val="0"/>
        <w:adjustRightInd w:val="0"/>
        <w:rPr>
          <w:rFonts w:asciiTheme="minorHAnsi" w:hAnsiTheme="minorHAnsi" w:cstheme="minorHAnsi"/>
          <w:bCs/>
          <w:color w:val="000000"/>
          <w:sz w:val="22"/>
          <w:szCs w:val="22"/>
        </w:rPr>
      </w:pPr>
    </w:p>
    <w:p w:rsidR="00490B49" w:rsidRDefault="00F83AE0" w:rsidP="00490B49">
      <w:pPr>
        <w:rPr>
          <w:rFonts w:asciiTheme="minorHAnsi" w:hAnsiTheme="minorHAnsi"/>
          <w:sz w:val="22"/>
          <w:szCs w:val="22"/>
        </w:rPr>
      </w:pPr>
      <w:r w:rsidRPr="008368C7">
        <w:rPr>
          <w:rFonts w:asciiTheme="minorHAnsi" w:hAnsiTheme="minorHAnsi"/>
          <w:sz w:val="22"/>
          <w:szCs w:val="22"/>
        </w:rPr>
        <w:t xml:space="preserve">Stratification by age and gender shows that </w:t>
      </w:r>
      <w:r w:rsidR="007E21AA">
        <w:rPr>
          <w:rFonts w:asciiTheme="minorHAnsi" w:hAnsiTheme="minorHAnsi"/>
          <w:sz w:val="22"/>
          <w:szCs w:val="22"/>
        </w:rPr>
        <w:t>wo</w:t>
      </w:r>
      <w:r w:rsidRPr="008368C7">
        <w:rPr>
          <w:rFonts w:asciiTheme="minorHAnsi" w:hAnsiTheme="minorHAnsi"/>
          <w:sz w:val="22"/>
          <w:szCs w:val="22"/>
        </w:rPr>
        <w:t>men have better detection rates</w:t>
      </w:r>
      <w:r w:rsidR="007E21AA">
        <w:rPr>
          <w:rFonts w:asciiTheme="minorHAnsi" w:hAnsiTheme="minorHAnsi"/>
          <w:sz w:val="22"/>
          <w:szCs w:val="22"/>
        </w:rPr>
        <w:t xml:space="preserve"> and </w:t>
      </w:r>
      <w:r w:rsidRPr="008368C7">
        <w:rPr>
          <w:rFonts w:asciiTheme="minorHAnsi" w:hAnsiTheme="minorHAnsi"/>
          <w:sz w:val="22"/>
          <w:szCs w:val="22"/>
        </w:rPr>
        <w:t>have already achieved fast-track targets for ART and viral suppression – 93%  ART coverage of diagnosed persons and 91% of those on ART reaching viral suppression. While 89% of men on ART had viral suppression, only 77% of diagnosed men were on treatment.</w:t>
      </w:r>
    </w:p>
    <w:p w:rsidR="00D63E3F" w:rsidRPr="00D63E3F" w:rsidRDefault="00D63E3F" w:rsidP="00490B49">
      <w:pPr>
        <w:rPr>
          <w:rFonts w:asciiTheme="minorHAnsi" w:hAnsiTheme="minorHAnsi"/>
          <w:sz w:val="22"/>
          <w:szCs w:val="22"/>
        </w:rPr>
      </w:pPr>
    </w:p>
    <w:p w:rsidR="00490B49" w:rsidRDefault="00F83AE0" w:rsidP="00490B49">
      <w:pPr>
        <w:rPr>
          <w:rFonts w:asciiTheme="minorHAnsi" w:hAnsiTheme="minorHAnsi" w:cstheme="minorHAnsi"/>
          <w:sz w:val="22"/>
          <w:szCs w:val="22"/>
        </w:rPr>
      </w:pPr>
      <w:r w:rsidRPr="00183A3D">
        <w:rPr>
          <w:rFonts w:asciiTheme="minorHAnsi" w:hAnsiTheme="minorHAnsi" w:cstheme="minorHAnsi"/>
          <w:sz w:val="22"/>
          <w:szCs w:val="22"/>
        </w:rPr>
        <w:t>Georgia was the first country in the region to ensure universal access to free hepatitis C treatment for HIV/HCV co-infected persons. It started in 2011 within the Global Fund-supported program and from 2015 continued within the national hepatitis C program. From 2011 through 2017, a total of 1104 HIV/HCV co-infected persons were treated for HCV (420 persons with dual therapy in 2011-2015; 684 with direct-acting antivirals in 2015-2017)</w:t>
      </w:r>
      <w:r w:rsidRPr="00183A3D">
        <w:rPr>
          <w:rFonts w:asciiTheme="minorHAnsi" w:hAnsiTheme="minorHAnsi" w:cstheme="minorHAnsi"/>
        </w:rPr>
        <w:t xml:space="preserve"> </w:t>
      </w:r>
      <w:r w:rsidRPr="00183A3D">
        <w:rPr>
          <w:rFonts w:asciiTheme="minorHAnsi" w:hAnsiTheme="minorHAnsi" w:cstheme="minorHAnsi"/>
          <w:sz w:val="22"/>
          <w:szCs w:val="22"/>
        </w:rPr>
        <w:t>representing 71% of the co-infected population. Enrollment of PLHIV in HCV treatment program continues with an overall goal of curing HCV in all persons with known HIV/HCV co-infection.</w:t>
      </w:r>
    </w:p>
    <w:p w:rsidR="00D24038" w:rsidRDefault="00D24038" w:rsidP="00490B49">
      <w:pPr>
        <w:rPr>
          <w:rFonts w:asciiTheme="minorHAnsi" w:hAnsiTheme="minorHAnsi" w:cstheme="minorHAnsi"/>
          <w:sz w:val="22"/>
          <w:szCs w:val="22"/>
        </w:rPr>
      </w:pPr>
    </w:p>
    <w:p w:rsidR="00D24038" w:rsidRPr="00D24038" w:rsidRDefault="00F83AE0" w:rsidP="00D24038">
      <w:pPr>
        <w:rPr>
          <w:rFonts w:asciiTheme="minorHAnsi" w:hAnsiTheme="minorHAnsi"/>
          <w:sz w:val="22"/>
          <w:szCs w:val="22"/>
        </w:rPr>
      </w:pPr>
      <w:r w:rsidRPr="00D24038">
        <w:rPr>
          <w:rFonts w:asciiTheme="minorHAnsi" w:hAnsiTheme="minorHAnsi"/>
          <w:sz w:val="22"/>
          <w:szCs w:val="22"/>
        </w:rPr>
        <w:t>Adherence support and promotion include clinic-based services provided to all persons picking-up antiretroviral drugs, as well as out-of-clinic/home support delivered by dedicated adherence mobile units. The latter service was established in 2008, providing services to persons registered with one of the AIDS centers in Tbilisi, Kutaisi, Batumi, and Zugdidi. Mobile units provide adherence monitoring and support on average to 220 persons on a monthly basis.</w:t>
      </w:r>
    </w:p>
    <w:p w:rsidR="00D24038" w:rsidRPr="00D24038" w:rsidRDefault="00D24038" w:rsidP="00D24038">
      <w:pPr>
        <w:pStyle w:val="Default"/>
        <w:rPr>
          <w:rFonts w:asciiTheme="minorHAnsi" w:hAnsiTheme="minorHAnsi"/>
          <w:sz w:val="22"/>
          <w:szCs w:val="22"/>
        </w:rPr>
      </w:pPr>
    </w:p>
    <w:p w:rsidR="00D24038" w:rsidRPr="00D24038" w:rsidRDefault="00F83AE0" w:rsidP="00D24038">
      <w:pPr>
        <w:pStyle w:val="Default"/>
        <w:rPr>
          <w:rFonts w:asciiTheme="minorHAnsi" w:hAnsiTheme="minorHAnsi"/>
          <w:sz w:val="22"/>
          <w:szCs w:val="22"/>
        </w:rPr>
      </w:pPr>
      <w:r w:rsidRPr="00D24038">
        <w:rPr>
          <w:rFonts w:asciiTheme="minorHAnsi" w:hAnsiTheme="minorHAnsi"/>
          <w:sz w:val="22"/>
          <w:szCs w:val="22"/>
        </w:rPr>
        <w:t>The palliative care service provision for PLHIV in Georgia was established in 2008 and since then has been led by the Georgian National Association of Palliative Care. The program delivers home-based services through the operation of palliative care mobile units in Tbilisi, Kutaisi, Batumi, and Zugdidi. Services provided include medical, psychological, social and spiritual support for chronically ill patients, and are implemented by health workers and non-health caregivers, including PLHIV. The program has been providing care to up to 35 patients on a monthly basis.</w:t>
      </w:r>
    </w:p>
    <w:p w:rsidR="00D24038" w:rsidRPr="00D24038" w:rsidRDefault="00D24038" w:rsidP="00D24038">
      <w:pPr>
        <w:rPr>
          <w:rFonts w:asciiTheme="minorHAnsi" w:hAnsiTheme="minorHAnsi"/>
          <w:sz w:val="22"/>
          <w:szCs w:val="22"/>
        </w:rPr>
      </w:pPr>
    </w:p>
    <w:p w:rsidR="00D24038" w:rsidRPr="00D24038" w:rsidRDefault="00F83AE0" w:rsidP="00D24038">
      <w:pPr>
        <w:pStyle w:val="Default"/>
        <w:rPr>
          <w:rFonts w:asciiTheme="minorHAnsi" w:hAnsiTheme="minorHAnsi"/>
          <w:sz w:val="22"/>
          <w:szCs w:val="22"/>
        </w:rPr>
      </w:pPr>
      <w:r w:rsidRPr="00D24038">
        <w:rPr>
          <w:rFonts w:asciiTheme="minorHAnsi" w:hAnsiTheme="minorHAnsi"/>
          <w:sz w:val="22"/>
          <w:szCs w:val="22"/>
        </w:rPr>
        <w:t>Community-based HIV self-support centers operate in Georgia since 2004 that provide psychosocial support through peer groups as well as through trained psychologist and hot-line services. HIV/AIDS Patients Support Foundation implement the service. Up to 10,000 consultations are provided annually, including to PLHIV and their close ones/caregivers.</w:t>
      </w:r>
    </w:p>
    <w:p w:rsidR="00D24038" w:rsidRPr="00D24038" w:rsidRDefault="00D24038" w:rsidP="00D24038">
      <w:pPr>
        <w:pStyle w:val="Default"/>
        <w:rPr>
          <w:rFonts w:asciiTheme="minorHAnsi" w:hAnsiTheme="minorHAnsi"/>
          <w:sz w:val="22"/>
          <w:szCs w:val="22"/>
        </w:rPr>
      </w:pPr>
    </w:p>
    <w:p w:rsidR="00E304AE" w:rsidRPr="00D24038" w:rsidRDefault="00F83AE0" w:rsidP="00E304AE">
      <w:pPr>
        <w:rPr>
          <w:rFonts w:asciiTheme="minorHAnsi" w:hAnsiTheme="minorHAnsi"/>
          <w:sz w:val="22"/>
          <w:szCs w:val="22"/>
        </w:rPr>
      </w:pPr>
      <w:r>
        <w:rPr>
          <w:rFonts w:asciiTheme="minorHAnsi" w:hAnsiTheme="minorHAnsi"/>
          <w:sz w:val="22"/>
          <w:szCs w:val="22"/>
        </w:rPr>
        <w:t>The primary challenge is that a</w:t>
      </w:r>
      <w:r w:rsidRPr="00D24038">
        <w:rPr>
          <w:rFonts w:asciiTheme="minorHAnsi" w:hAnsiTheme="minorHAnsi"/>
          <w:sz w:val="22"/>
          <w:szCs w:val="22"/>
        </w:rPr>
        <w:t>ll outpatient care and support activities are entirely supported by donor funding and include adherence promotion and support services, home-based palliative care for chronically ill persons and community-based self-support services.</w:t>
      </w:r>
    </w:p>
    <w:p w:rsidR="008368C7" w:rsidRPr="00D24038" w:rsidRDefault="008368C7" w:rsidP="008368C7">
      <w:pPr>
        <w:rPr>
          <w:rFonts w:asciiTheme="minorHAnsi" w:hAnsiTheme="minorHAnsi"/>
          <w:sz w:val="22"/>
          <w:szCs w:val="22"/>
        </w:rPr>
      </w:pPr>
    </w:p>
    <w:p w:rsidR="008368C7" w:rsidRPr="008368C7" w:rsidRDefault="00F83AE0" w:rsidP="008368C7">
      <w:pPr>
        <w:rPr>
          <w:rFonts w:asciiTheme="minorHAnsi" w:hAnsiTheme="minorHAnsi"/>
          <w:sz w:val="22"/>
          <w:szCs w:val="22"/>
        </w:rPr>
      </w:pPr>
      <w:r w:rsidRPr="008368C7">
        <w:rPr>
          <w:rFonts w:asciiTheme="minorHAnsi" w:hAnsiTheme="minorHAnsi"/>
          <w:sz w:val="22"/>
          <w:szCs w:val="22"/>
        </w:rPr>
        <w:t>Nevertheless, the significant gap in the diagnosis stage undermines accomplishments in treatment provision</w:t>
      </w:r>
      <w:r w:rsidR="002A42C6">
        <w:rPr>
          <w:rFonts w:asciiTheme="minorHAnsi" w:hAnsiTheme="minorHAnsi"/>
          <w:sz w:val="22"/>
          <w:szCs w:val="22"/>
        </w:rPr>
        <w:t>,</w:t>
      </w:r>
      <w:r w:rsidRPr="008368C7">
        <w:rPr>
          <w:rFonts w:asciiTheme="minorHAnsi" w:hAnsiTheme="minorHAnsi"/>
          <w:sz w:val="22"/>
          <w:szCs w:val="22"/>
        </w:rPr>
        <w:t xml:space="preserve"> and on a population level, only 35% of PLHIV are virally suppressed, which is not sufficient to derive maximum individual and public health benefits of ART. </w:t>
      </w:r>
    </w:p>
    <w:p w:rsidR="000F4ED1" w:rsidRDefault="000F4ED1" w:rsidP="00723D9E">
      <w:pPr>
        <w:pStyle w:val="Default"/>
        <w:rPr>
          <w:rFonts w:asciiTheme="minorHAnsi" w:hAnsiTheme="minorHAnsi" w:cstheme="minorHAnsi"/>
          <w:sz w:val="22"/>
          <w:szCs w:val="22"/>
        </w:rPr>
      </w:pPr>
    </w:p>
    <w:p w:rsidR="00831B20" w:rsidRDefault="00F83AE0">
      <w:pPr>
        <w:rPr>
          <w:rFonts w:asciiTheme="minorHAnsi" w:eastAsiaTheme="minorHAnsi" w:hAnsiTheme="minorHAnsi" w:cstheme="minorHAnsi"/>
          <w:color w:val="000000"/>
          <w:sz w:val="22"/>
          <w:szCs w:val="22"/>
        </w:rPr>
      </w:pPr>
      <w:r>
        <w:rPr>
          <w:rFonts w:asciiTheme="minorHAnsi" w:hAnsiTheme="minorHAnsi" w:cstheme="minorHAnsi"/>
          <w:sz w:val="22"/>
          <w:szCs w:val="22"/>
        </w:rPr>
        <w:br w:type="page"/>
      </w:r>
    </w:p>
    <w:p w:rsidR="00E304AE" w:rsidRDefault="00F83AE0" w:rsidP="00723D9E">
      <w:pPr>
        <w:pStyle w:val="Default"/>
        <w:rPr>
          <w:rFonts w:asciiTheme="minorHAnsi" w:hAnsiTheme="minorHAnsi" w:cstheme="minorHAnsi"/>
          <w:sz w:val="22"/>
          <w:szCs w:val="22"/>
        </w:rPr>
      </w:pPr>
      <w:r>
        <w:rPr>
          <w:rFonts w:asciiTheme="minorHAnsi" w:hAnsiTheme="minorHAnsi" w:cstheme="minorHAnsi"/>
          <w:sz w:val="22"/>
          <w:szCs w:val="22"/>
        </w:rPr>
        <w:lastRenderedPageBreak/>
        <w:t xml:space="preserve">Activities </w:t>
      </w:r>
      <w:r w:rsidR="00857BCB">
        <w:rPr>
          <w:rFonts w:asciiTheme="minorHAnsi" w:hAnsiTheme="minorHAnsi" w:cstheme="minorHAnsi"/>
          <w:sz w:val="22"/>
          <w:szCs w:val="22"/>
        </w:rPr>
        <w:t>suggested</w:t>
      </w:r>
      <w:r>
        <w:rPr>
          <w:rFonts w:asciiTheme="minorHAnsi" w:hAnsiTheme="minorHAnsi" w:cstheme="minorHAnsi"/>
          <w:sz w:val="22"/>
          <w:szCs w:val="22"/>
        </w:rPr>
        <w:t xml:space="preserve"> </w:t>
      </w:r>
      <w:r w:rsidR="00857BCB">
        <w:rPr>
          <w:rFonts w:asciiTheme="minorHAnsi" w:hAnsiTheme="minorHAnsi" w:cstheme="minorHAnsi"/>
          <w:sz w:val="22"/>
          <w:szCs w:val="22"/>
        </w:rPr>
        <w:t>for Strategic Objective 2</w:t>
      </w:r>
      <w:r>
        <w:rPr>
          <w:rFonts w:asciiTheme="minorHAnsi" w:hAnsiTheme="minorHAnsi" w:cstheme="minorHAnsi"/>
          <w:sz w:val="22"/>
          <w:szCs w:val="22"/>
        </w:rPr>
        <w:t>:</w:t>
      </w:r>
    </w:p>
    <w:p w:rsidR="0052035C" w:rsidRDefault="0052035C" w:rsidP="00723D9E">
      <w:pPr>
        <w:pStyle w:val="Default"/>
        <w:rPr>
          <w:rFonts w:asciiTheme="minorHAnsi" w:hAnsiTheme="minorHAnsi" w:cstheme="minorHAnsi"/>
          <w:sz w:val="22"/>
          <w:szCs w:val="22"/>
        </w:rPr>
      </w:pPr>
    </w:p>
    <w:p w:rsidR="00584866" w:rsidRPr="00584866" w:rsidRDefault="00584866" w:rsidP="00584866">
      <w:pPr>
        <w:pStyle w:val="ListParagraph"/>
        <w:rPr>
          <w:rFonts w:asciiTheme="minorHAnsi" w:hAnsiTheme="minorHAnsi"/>
          <w:sz w:val="22"/>
          <w:szCs w:val="22"/>
        </w:rPr>
      </w:pPr>
    </w:p>
    <w:p w:rsidR="00584866" w:rsidRPr="00584866" w:rsidRDefault="00F83AE0" w:rsidP="00A3152C">
      <w:pPr>
        <w:pStyle w:val="ListParagraph"/>
        <w:numPr>
          <w:ilvl w:val="0"/>
          <w:numId w:val="15"/>
        </w:numPr>
        <w:rPr>
          <w:rFonts w:asciiTheme="minorHAnsi" w:hAnsiTheme="minorHAnsi"/>
          <w:sz w:val="22"/>
          <w:szCs w:val="22"/>
        </w:rPr>
      </w:pPr>
      <w:r w:rsidRPr="00584866">
        <w:rPr>
          <w:rFonts w:asciiTheme="minorHAnsi" w:hAnsiTheme="minorHAnsi"/>
          <w:sz w:val="22"/>
          <w:szCs w:val="22"/>
        </w:rPr>
        <w:t>Expand provider-initiated HIV testing services (HTS) in the healthcare sector</w:t>
      </w:r>
    </w:p>
    <w:p w:rsidR="00584866" w:rsidRPr="00584866" w:rsidRDefault="00F83AE0" w:rsidP="00A3152C">
      <w:pPr>
        <w:pStyle w:val="ListParagraph"/>
        <w:numPr>
          <w:ilvl w:val="1"/>
          <w:numId w:val="15"/>
        </w:numPr>
        <w:rPr>
          <w:rFonts w:asciiTheme="minorHAnsi" w:hAnsiTheme="minorHAnsi"/>
          <w:sz w:val="22"/>
          <w:szCs w:val="22"/>
        </w:rPr>
      </w:pPr>
      <w:r w:rsidRPr="00584866">
        <w:rPr>
          <w:rFonts w:asciiTheme="minorHAnsi" w:hAnsiTheme="minorHAnsi"/>
          <w:sz w:val="22"/>
          <w:szCs w:val="22"/>
        </w:rPr>
        <w:t>Provide HTS in specialty clinics, including infectious diseases, tuberculosis, STI and viral hepatitis clinics</w:t>
      </w:r>
    </w:p>
    <w:p w:rsidR="00584866" w:rsidRPr="00584866" w:rsidRDefault="00F83AE0" w:rsidP="00A3152C">
      <w:pPr>
        <w:pStyle w:val="ListParagraph"/>
        <w:numPr>
          <w:ilvl w:val="1"/>
          <w:numId w:val="15"/>
        </w:numPr>
        <w:rPr>
          <w:rFonts w:asciiTheme="minorHAnsi" w:hAnsiTheme="minorHAnsi"/>
          <w:sz w:val="22"/>
          <w:szCs w:val="22"/>
        </w:rPr>
      </w:pPr>
      <w:r w:rsidRPr="00584866">
        <w:rPr>
          <w:rFonts w:asciiTheme="minorHAnsi" w:hAnsiTheme="minorHAnsi"/>
          <w:sz w:val="22"/>
          <w:szCs w:val="22"/>
        </w:rPr>
        <w:t>Provide HTS in emergency departments</w:t>
      </w:r>
    </w:p>
    <w:p w:rsidR="00584866" w:rsidRPr="00584866" w:rsidRDefault="00F83AE0" w:rsidP="00A3152C">
      <w:pPr>
        <w:pStyle w:val="ListParagraph"/>
        <w:numPr>
          <w:ilvl w:val="1"/>
          <w:numId w:val="15"/>
        </w:numPr>
        <w:rPr>
          <w:rFonts w:asciiTheme="minorHAnsi" w:hAnsiTheme="minorHAnsi"/>
          <w:sz w:val="22"/>
          <w:szCs w:val="22"/>
        </w:rPr>
      </w:pPr>
      <w:r w:rsidRPr="00584866">
        <w:rPr>
          <w:rFonts w:asciiTheme="minorHAnsi" w:hAnsiTheme="minorHAnsi"/>
          <w:sz w:val="22"/>
          <w:szCs w:val="22"/>
        </w:rPr>
        <w:t>Provide HTS to hospitalized persons</w:t>
      </w:r>
    </w:p>
    <w:p w:rsidR="00584866" w:rsidRPr="00584866" w:rsidRDefault="00F83AE0" w:rsidP="00A3152C">
      <w:pPr>
        <w:pStyle w:val="ListParagraph"/>
        <w:numPr>
          <w:ilvl w:val="1"/>
          <w:numId w:val="15"/>
        </w:numPr>
        <w:rPr>
          <w:rFonts w:asciiTheme="minorHAnsi" w:hAnsiTheme="minorHAnsi"/>
          <w:sz w:val="22"/>
          <w:szCs w:val="22"/>
        </w:rPr>
      </w:pPr>
      <w:r w:rsidRPr="00584866">
        <w:rPr>
          <w:rFonts w:asciiTheme="minorHAnsi" w:hAnsiTheme="minorHAnsi"/>
          <w:sz w:val="22"/>
          <w:szCs w:val="22"/>
        </w:rPr>
        <w:t>Provide HTS in primary healthcare clinics</w:t>
      </w:r>
    </w:p>
    <w:p w:rsidR="00584866" w:rsidRPr="00584866" w:rsidRDefault="00F83AE0" w:rsidP="00A3152C">
      <w:pPr>
        <w:pStyle w:val="ListParagraph"/>
        <w:numPr>
          <w:ilvl w:val="1"/>
          <w:numId w:val="15"/>
        </w:numPr>
        <w:rPr>
          <w:rFonts w:asciiTheme="minorHAnsi" w:hAnsiTheme="minorHAnsi"/>
          <w:sz w:val="22"/>
          <w:szCs w:val="22"/>
        </w:rPr>
      </w:pPr>
      <w:r w:rsidRPr="00584866">
        <w:rPr>
          <w:rFonts w:asciiTheme="minorHAnsi" w:hAnsiTheme="minorHAnsi"/>
          <w:sz w:val="22"/>
          <w:szCs w:val="22"/>
        </w:rPr>
        <w:t>Provide HTS to contacts of diagnosed PLHIV (contact tracing/investigation)</w:t>
      </w:r>
    </w:p>
    <w:p w:rsidR="00584866" w:rsidRPr="00584866" w:rsidRDefault="00584866" w:rsidP="00584866">
      <w:pPr>
        <w:pStyle w:val="ListParagraph"/>
        <w:ind w:left="1440"/>
        <w:rPr>
          <w:rFonts w:asciiTheme="minorHAnsi" w:hAnsiTheme="minorHAnsi"/>
          <w:sz w:val="22"/>
          <w:szCs w:val="22"/>
        </w:rPr>
      </w:pPr>
    </w:p>
    <w:p w:rsidR="00584866" w:rsidRPr="00584866" w:rsidRDefault="00F83AE0" w:rsidP="00A3152C">
      <w:pPr>
        <w:pStyle w:val="ListParagraph"/>
        <w:numPr>
          <w:ilvl w:val="0"/>
          <w:numId w:val="15"/>
        </w:numPr>
        <w:rPr>
          <w:rFonts w:asciiTheme="minorHAnsi" w:hAnsiTheme="minorHAnsi"/>
          <w:sz w:val="22"/>
          <w:szCs w:val="22"/>
        </w:rPr>
      </w:pPr>
      <w:r w:rsidRPr="00584866">
        <w:rPr>
          <w:rFonts w:asciiTheme="minorHAnsi" w:hAnsiTheme="minorHAnsi"/>
          <w:sz w:val="22"/>
          <w:szCs w:val="22"/>
        </w:rPr>
        <w:t xml:space="preserve">Introduce HIV self-testing </w:t>
      </w:r>
    </w:p>
    <w:p w:rsidR="0018217D" w:rsidRDefault="0018217D" w:rsidP="0018217D">
      <w:pPr>
        <w:jc w:val="both"/>
        <w:rPr>
          <w:rFonts w:asciiTheme="minorHAnsi" w:hAnsiTheme="minorHAnsi" w:cstheme="minorHAnsi"/>
          <w:sz w:val="22"/>
          <w:szCs w:val="22"/>
        </w:rPr>
      </w:pPr>
    </w:p>
    <w:p w:rsidR="00584866" w:rsidRPr="00584866" w:rsidRDefault="00F83AE0"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Provide essential clinical care services for all people living with HIV (PLHIV)</w:t>
      </w:r>
    </w:p>
    <w:p w:rsidR="00584866" w:rsidRPr="00584866" w:rsidRDefault="00F83AE0" w:rsidP="00A3152C">
      <w:pPr>
        <w:pStyle w:val="ListParagraph"/>
        <w:numPr>
          <w:ilvl w:val="1"/>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Out-patient medical care</w:t>
      </w:r>
    </w:p>
    <w:p w:rsidR="00584866" w:rsidRPr="00584866" w:rsidRDefault="00F83AE0" w:rsidP="00A3152C">
      <w:pPr>
        <w:pStyle w:val="ListParagraph"/>
        <w:numPr>
          <w:ilvl w:val="1"/>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In-patient medical care </w:t>
      </w:r>
    </w:p>
    <w:p w:rsidR="00584866" w:rsidRPr="00584866" w:rsidRDefault="00F83AE0" w:rsidP="00A3152C">
      <w:pPr>
        <w:pStyle w:val="ListParagraph"/>
        <w:numPr>
          <w:ilvl w:val="1"/>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Laboratory monitoring (CD4 cell count, viral load, drug resistance testing)</w:t>
      </w:r>
    </w:p>
    <w:p w:rsidR="00584866" w:rsidRPr="00584866" w:rsidRDefault="00584866" w:rsidP="00584866">
      <w:pPr>
        <w:autoSpaceDE w:val="0"/>
        <w:autoSpaceDN w:val="0"/>
        <w:adjustRightInd w:val="0"/>
        <w:rPr>
          <w:rFonts w:asciiTheme="minorHAnsi" w:hAnsiTheme="minorHAnsi"/>
          <w:b/>
          <w:sz w:val="22"/>
          <w:szCs w:val="22"/>
        </w:rPr>
      </w:pPr>
    </w:p>
    <w:p w:rsidR="00584866" w:rsidRPr="00584866" w:rsidRDefault="00F83AE0"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Provide ART to all PLHIV following existing guidelines, including in the region of Abkhazia</w:t>
      </w:r>
    </w:p>
    <w:p w:rsidR="00584866" w:rsidRPr="00584866" w:rsidRDefault="00F83AE0" w:rsidP="00A3152C">
      <w:pPr>
        <w:pStyle w:val="ListParagraph"/>
        <w:numPr>
          <w:ilvl w:val="0"/>
          <w:numId w:val="21"/>
        </w:numPr>
        <w:autoSpaceDE w:val="0"/>
        <w:autoSpaceDN w:val="0"/>
        <w:adjustRightInd w:val="0"/>
        <w:rPr>
          <w:rFonts w:asciiTheme="minorHAnsi" w:hAnsiTheme="minorHAnsi"/>
          <w:sz w:val="22"/>
          <w:szCs w:val="22"/>
        </w:rPr>
      </w:pPr>
      <w:r w:rsidRPr="00584866">
        <w:rPr>
          <w:rFonts w:asciiTheme="minorHAnsi" w:hAnsiTheme="minorHAnsi"/>
          <w:sz w:val="22"/>
          <w:szCs w:val="22"/>
        </w:rPr>
        <w:t>Procure first, second and third-line ARV drugs</w:t>
      </w:r>
    </w:p>
    <w:p w:rsidR="00584866" w:rsidRPr="00584866" w:rsidRDefault="00F83AE0" w:rsidP="00A3152C">
      <w:pPr>
        <w:pStyle w:val="ListParagraph"/>
        <w:numPr>
          <w:ilvl w:val="0"/>
          <w:numId w:val="21"/>
        </w:numPr>
        <w:autoSpaceDE w:val="0"/>
        <w:autoSpaceDN w:val="0"/>
        <w:adjustRightInd w:val="0"/>
        <w:rPr>
          <w:rFonts w:asciiTheme="minorHAnsi" w:hAnsiTheme="minorHAnsi"/>
          <w:sz w:val="22"/>
          <w:szCs w:val="22"/>
        </w:rPr>
      </w:pPr>
      <w:r w:rsidRPr="00584866">
        <w:rPr>
          <w:rFonts w:asciiTheme="minorHAnsi" w:hAnsiTheme="minorHAnsi"/>
          <w:sz w:val="22"/>
          <w:szCs w:val="22"/>
        </w:rPr>
        <w:t>Provide clinic based adherence monitoring and support</w:t>
      </w:r>
    </w:p>
    <w:p w:rsidR="00584866" w:rsidRPr="00584866" w:rsidRDefault="00F83AE0" w:rsidP="00A3152C">
      <w:pPr>
        <w:pStyle w:val="ListParagraph"/>
        <w:numPr>
          <w:ilvl w:val="0"/>
          <w:numId w:val="21"/>
        </w:numPr>
        <w:autoSpaceDE w:val="0"/>
        <w:autoSpaceDN w:val="0"/>
        <w:adjustRightInd w:val="0"/>
        <w:rPr>
          <w:rFonts w:asciiTheme="minorHAnsi" w:hAnsiTheme="minorHAnsi"/>
          <w:sz w:val="22"/>
          <w:szCs w:val="22"/>
        </w:rPr>
      </w:pPr>
      <w:r w:rsidRPr="00584866">
        <w:rPr>
          <w:rFonts w:asciiTheme="minorHAnsi" w:hAnsiTheme="minorHAnsi"/>
          <w:sz w:val="22"/>
          <w:szCs w:val="22"/>
        </w:rPr>
        <w:t>Provide home-based adherence support</w:t>
      </w:r>
    </w:p>
    <w:p w:rsidR="00584866" w:rsidRPr="00584866" w:rsidRDefault="00584866" w:rsidP="00584866">
      <w:pPr>
        <w:pStyle w:val="ListParagraph"/>
        <w:rPr>
          <w:rFonts w:asciiTheme="minorHAnsi" w:hAnsiTheme="minorHAnsi"/>
          <w:sz w:val="22"/>
          <w:szCs w:val="22"/>
        </w:rPr>
      </w:pPr>
    </w:p>
    <w:p w:rsidR="00584866" w:rsidRPr="00584866" w:rsidRDefault="00F83AE0"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Ensure effective program administration and quality of service delivery</w:t>
      </w:r>
    </w:p>
    <w:p w:rsidR="00584866" w:rsidRPr="00584866" w:rsidRDefault="00F83AE0" w:rsidP="00A3152C">
      <w:pPr>
        <w:pStyle w:val="ListParagraph"/>
        <w:numPr>
          <w:ilvl w:val="0"/>
          <w:numId w:val="22"/>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Ensure effective program delivery </w:t>
      </w:r>
      <w:r w:rsidR="00556E97">
        <w:rPr>
          <w:rFonts w:asciiTheme="minorHAnsi" w:hAnsiTheme="minorHAnsi"/>
          <w:sz w:val="22"/>
          <w:szCs w:val="22"/>
        </w:rPr>
        <w:t>(</w:t>
      </w:r>
      <w:r w:rsidRPr="00584866">
        <w:rPr>
          <w:rFonts w:asciiTheme="minorHAnsi" w:hAnsiTheme="minorHAnsi"/>
          <w:sz w:val="22"/>
          <w:szCs w:val="22"/>
        </w:rPr>
        <w:t>including in the region of Abkhazia</w:t>
      </w:r>
      <w:r w:rsidR="00556E97">
        <w:rPr>
          <w:rFonts w:asciiTheme="minorHAnsi" w:hAnsiTheme="minorHAnsi"/>
          <w:sz w:val="22"/>
          <w:szCs w:val="22"/>
        </w:rPr>
        <w:t>)</w:t>
      </w:r>
    </w:p>
    <w:p w:rsidR="00584866" w:rsidRPr="00584866" w:rsidRDefault="00F83AE0" w:rsidP="00A3152C">
      <w:pPr>
        <w:pStyle w:val="ListParagraph"/>
        <w:numPr>
          <w:ilvl w:val="0"/>
          <w:numId w:val="22"/>
        </w:numPr>
        <w:autoSpaceDE w:val="0"/>
        <w:autoSpaceDN w:val="0"/>
        <w:adjustRightInd w:val="0"/>
        <w:rPr>
          <w:rFonts w:asciiTheme="minorHAnsi" w:hAnsiTheme="minorHAnsi"/>
          <w:sz w:val="22"/>
          <w:szCs w:val="22"/>
        </w:rPr>
      </w:pPr>
      <w:r w:rsidRPr="00584866">
        <w:rPr>
          <w:rFonts w:asciiTheme="minorHAnsi" w:hAnsiTheme="minorHAnsi"/>
          <w:sz w:val="22"/>
          <w:szCs w:val="22"/>
        </w:rPr>
        <w:t>Maintain operation of National AIDS Health Information System (HIV/AIDS database) and implement other M&amp;E activities</w:t>
      </w:r>
    </w:p>
    <w:p w:rsidR="00584866" w:rsidRPr="00584866" w:rsidRDefault="00F83AE0" w:rsidP="00A3152C">
      <w:pPr>
        <w:pStyle w:val="ListParagraph"/>
        <w:numPr>
          <w:ilvl w:val="0"/>
          <w:numId w:val="22"/>
        </w:numPr>
        <w:autoSpaceDE w:val="0"/>
        <w:autoSpaceDN w:val="0"/>
        <w:adjustRightInd w:val="0"/>
        <w:rPr>
          <w:rFonts w:asciiTheme="minorHAnsi" w:hAnsiTheme="minorHAnsi"/>
          <w:sz w:val="22"/>
          <w:szCs w:val="22"/>
        </w:rPr>
      </w:pPr>
      <w:r w:rsidRPr="00584866">
        <w:rPr>
          <w:rFonts w:asciiTheme="minorHAnsi" w:hAnsiTheme="minorHAnsi"/>
          <w:sz w:val="22"/>
          <w:szCs w:val="22"/>
        </w:rPr>
        <w:t>Implement operational research to inform service delivery</w:t>
      </w:r>
    </w:p>
    <w:p w:rsidR="00584866" w:rsidRPr="00584866" w:rsidRDefault="00F83AE0" w:rsidP="00A3152C">
      <w:pPr>
        <w:pStyle w:val="ListParagraph"/>
        <w:numPr>
          <w:ilvl w:val="0"/>
          <w:numId w:val="22"/>
        </w:numPr>
        <w:autoSpaceDE w:val="0"/>
        <w:autoSpaceDN w:val="0"/>
        <w:adjustRightInd w:val="0"/>
        <w:rPr>
          <w:rFonts w:asciiTheme="minorHAnsi" w:hAnsiTheme="minorHAnsi"/>
          <w:sz w:val="22"/>
          <w:szCs w:val="22"/>
        </w:rPr>
      </w:pPr>
      <w:r w:rsidRPr="00584866">
        <w:rPr>
          <w:rFonts w:asciiTheme="minorHAnsi" w:hAnsiTheme="minorHAnsi"/>
          <w:sz w:val="22"/>
          <w:szCs w:val="22"/>
        </w:rPr>
        <w:t>Ensure quality of service delivery:</w:t>
      </w:r>
    </w:p>
    <w:p w:rsidR="00584866" w:rsidRPr="00584866" w:rsidRDefault="00F83AE0" w:rsidP="00A3152C">
      <w:pPr>
        <w:pStyle w:val="ListParagraph"/>
        <w:numPr>
          <w:ilvl w:val="2"/>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Update and develop clinical practice guidelines</w:t>
      </w:r>
    </w:p>
    <w:p w:rsidR="00584866" w:rsidRPr="00584866" w:rsidRDefault="00F83AE0" w:rsidP="00A3152C">
      <w:pPr>
        <w:pStyle w:val="ListParagraph"/>
        <w:numPr>
          <w:ilvl w:val="2"/>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Implement quality control/clinical audit for clinical care and ART</w:t>
      </w:r>
    </w:p>
    <w:p w:rsidR="00584866" w:rsidRPr="00584866" w:rsidRDefault="00F83AE0" w:rsidP="00A3152C">
      <w:pPr>
        <w:pStyle w:val="ListParagraph"/>
        <w:numPr>
          <w:ilvl w:val="2"/>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Implement quality control for laboratory services  </w:t>
      </w:r>
    </w:p>
    <w:p w:rsidR="00584866" w:rsidRPr="00584866" w:rsidRDefault="00F83AE0" w:rsidP="00A3152C">
      <w:pPr>
        <w:pStyle w:val="ListParagraph"/>
        <w:numPr>
          <w:ilvl w:val="2"/>
          <w:numId w:val="16"/>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Support human capacity strengthening through continued medical education, including participation in international meetings  </w:t>
      </w:r>
    </w:p>
    <w:p w:rsidR="00584866" w:rsidRPr="00584866" w:rsidRDefault="00584866" w:rsidP="00584866">
      <w:pPr>
        <w:autoSpaceDE w:val="0"/>
        <w:autoSpaceDN w:val="0"/>
        <w:adjustRightInd w:val="0"/>
        <w:rPr>
          <w:rFonts w:asciiTheme="minorHAnsi" w:hAnsiTheme="minorHAnsi"/>
          <w:sz w:val="22"/>
          <w:szCs w:val="22"/>
        </w:rPr>
      </w:pPr>
    </w:p>
    <w:p w:rsidR="00584866" w:rsidRPr="00584866" w:rsidRDefault="00F83AE0"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Ensure necessary investments in the infrastructure </w:t>
      </w:r>
    </w:p>
    <w:p w:rsidR="00584866" w:rsidRPr="00584866" w:rsidRDefault="00F83AE0" w:rsidP="00A3152C">
      <w:pPr>
        <w:pStyle w:val="ListParagraph"/>
        <w:numPr>
          <w:ilvl w:val="0"/>
          <w:numId w:val="23"/>
        </w:numPr>
        <w:autoSpaceDE w:val="0"/>
        <w:autoSpaceDN w:val="0"/>
        <w:adjustRightInd w:val="0"/>
        <w:rPr>
          <w:rFonts w:asciiTheme="minorHAnsi" w:hAnsiTheme="minorHAnsi"/>
          <w:sz w:val="22"/>
          <w:szCs w:val="22"/>
        </w:rPr>
      </w:pPr>
      <w:r w:rsidRPr="00584866">
        <w:rPr>
          <w:rFonts w:asciiTheme="minorHAnsi" w:hAnsiTheme="minorHAnsi"/>
          <w:sz w:val="22"/>
          <w:szCs w:val="22"/>
        </w:rPr>
        <w:t>Develop adequate physical infrastructure of  the National AIDS Center, including building and equipment</w:t>
      </w:r>
    </w:p>
    <w:p w:rsidR="00584866" w:rsidRPr="00584866" w:rsidRDefault="00584866" w:rsidP="00584866">
      <w:pPr>
        <w:autoSpaceDE w:val="0"/>
        <w:autoSpaceDN w:val="0"/>
        <w:adjustRightInd w:val="0"/>
        <w:rPr>
          <w:rFonts w:asciiTheme="minorHAnsi" w:hAnsiTheme="minorHAnsi"/>
          <w:sz w:val="22"/>
          <w:szCs w:val="22"/>
        </w:rPr>
      </w:pPr>
    </w:p>
    <w:p w:rsidR="00584866" w:rsidRPr="00584866" w:rsidRDefault="00F83AE0"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Reduce morbidity and mortality due to co-infections with TB and viral hepatitis </w:t>
      </w:r>
    </w:p>
    <w:p w:rsidR="00584866" w:rsidRPr="00584866" w:rsidRDefault="00F83AE0" w:rsidP="00A3152C">
      <w:pPr>
        <w:pStyle w:val="ListParagraph"/>
        <w:numPr>
          <w:ilvl w:val="0"/>
          <w:numId w:val="24"/>
        </w:numPr>
        <w:autoSpaceDE w:val="0"/>
        <w:autoSpaceDN w:val="0"/>
        <w:adjustRightInd w:val="0"/>
        <w:rPr>
          <w:rFonts w:asciiTheme="minorHAnsi" w:hAnsiTheme="minorHAnsi"/>
          <w:sz w:val="22"/>
          <w:szCs w:val="22"/>
        </w:rPr>
      </w:pPr>
      <w:r w:rsidRPr="00584866">
        <w:rPr>
          <w:rFonts w:asciiTheme="minorHAnsi" w:hAnsiTheme="minorHAnsi"/>
          <w:sz w:val="22"/>
          <w:szCs w:val="22"/>
        </w:rPr>
        <w:t>Ensure provision of HIV/TB collaborative activities</w:t>
      </w:r>
    </w:p>
    <w:p w:rsidR="00584866" w:rsidRPr="00584866" w:rsidRDefault="00F83AE0" w:rsidP="00A3152C">
      <w:pPr>
        <w:pStyle w:val="ListParagraph"/>
        <w:numPr>
          <w:ilvl w:val="0"/>
          <w:numId w:val="24"/>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Provide treatment for hepatitis C </w:t>
      </w:r>
    </w:p>
    <w:p w:rsidR="00584866" w:rsidRPr="00584866" w:rsidRDefault="00F83AE0" w:rsidP="00A3152C">
      <w:pPr>
        <w:pStyle w:val="ListParagraph"/>
        <w:numPr>
          <w:ilvl w:val="0"/>
          <w:numId w:val="24"/>
        </w:numPr>
        <w:autoSpaceDE w:val="0"/>
        <w:autoSpaceDN w:val="0"/>
        <w:adjustRightInd w:val="0"/>
        <w:rPr>
          <w:rFonts w:asciiTheme="minorHAnsi" w:hAnsiTheme="minorHAnsi"/>
          <w:sz w:val="22"/>
          <w:szCs w:val="22"/>
        </w:rPr>
      </w:pPr>
      <w:r w:rsidRPr="00584866">
        <w:rPr>
          <w:rFonts w:asciiTheme="minorHAnsi" w:hAnsiTheme="minorHAnsi"/>
          <w:sz w:val="22"/>
          <w:szCs w:val="22"/>
        </w:rPr>
        <w:t>Provide prevention and treatment for hepatitis B</w:t>
      </w:r>
    </w:p>
    <w:p w:rsidR="00584866" w:rsidRPr="00584866" w:rsidRDefault="00584866" w:rsidP="00584866">
      <w:pPr>
        <w:autoSpaceDE w:val="0"/>
        <w:autoSpaceDN w:val="0"/>
        <w:adjustRightInd w:val="0"/>
        <w:rPr>
          <w:rFonts w:asciiTheme="minorHAnsi" w:hAnsiTheme="minorHAnsi"/>
          <w:sz w:val="22"/>
          <w:szCs w:val="22"/>
        </w:rPr>
      </w:pPr>
    </w:p>
    <w:p w:rsidR="00584866" w:rsidRPr="00584866" w:rsidRDefault="00F83AE0" w:rsidP="00A3152C">
      <w:pPr>
        <w:pStyle w:val="ListParagraph"/>
        <w:numPr>
          <w:ilvl w:val="0"/>
          <w:numId w:val="15"/>
        </w:numPr>
        <w:autoSpaceDE w:val="0"/>
        <w:autoSpaceDN w:val="0"/>
        <w:adjustRightInd w:val="0"/>
        <w:rPr>
          <w:rFonts w:asciiTheme="minorHAnsi" w:hAnsiTheme="minorHAnsi"/>
          <w:sz w:val="22"/>
          <w:szCs w:val="22"/>
        </w:rPr>
      </w:pPr>
      <w:r w:rsidRPr="00584866">
        <w:rPr>
          <w:rFonts w:asciiTheme="minorHAnsi" w:hAnsiTheme="minorHAnsi"/>
          <w:sz w:val="22"/>
          <w:szCs w:val="22"/>
        </w:rPr>
        <w:t xml:space="preserve">Provide care and support services for PLHIV </w:t>
      </w:r>
    </w:p>
    <w:p w:rsidR="00584866" w:rsidRPr="00584866" w:rsidRDefault="00F83AE0" w:rsidP="00A3152C">
      <w:pPr>
        <w:pStyle w:val="ListParagraph"/>
        <w:numPr>
          <w:ilvl w:val="0"/>
          <w:numId w:val="25"/>
        </w:numPr>
        <w:autoSpaceDE w:val="0"/>
        <w:autoSpaceDN w:val="0"/>
        <w:adjustRightInd w:val="0"/>
        <w:rPr>
          <w:rFonts w:asciiTheme="minorHAnsi" w:hAnsiTheme="minorHAnsi"/>
          <w:sz w:val="22"/>
          <w:szCs w:val="22"/>
        </w:rPr>
      </w:pPr>
      <w:r w:rsidRPr="00584866">
        <w:rPr>
          <w:rFonts w:asciiTheme="minorHAnsi" w:hAnsiTheme="minorHAnsi"/>
          <w:sz w:val="22"/>
          <w:szCs w:val="22"/>
        </w:rPr>
        <w:t>Ensure operation of peer-support services</w:t>
      </w:r>
    </w:p>
    <w:p w:rsidR="00584866" w:rsidRPr="00584866" w:rsidRDefault="00F83AE0" w:rsidP="00A3152C">
      <w:pPr>
        <w:pStyle w:val="ListParagraph"/>
        <w:numPr>
          <w:ilvl w:val="0"/>
          <w:numId w:val="25"/>
        </w:numPr>
        <w:autoSpaceDE w:val="0"/>
        <w:autoSpaceDN w:val="0"/>
        <w:adjustRightInd w:val="0"/>
        <w:rPr>
          <w:rFonts w:asciiTheme="minorHAnsi" w:hAnsiTheme="minorHAnsi"/>
          <w:sz w:val="22"/>
          <w:szCs w:val="22"/>
        </w:rPr>
      </w:pPr>
      <w:r w:rsidRPr="00584866">
        <w:rPr>
          <w:rFonts w:asciiTheme="minorHAnsi" w:hAnsiTheme="minorHAnsi"/>
          <w:sz w:val="22"/>
          <w:szCs w:val="22"/>
        </w:rPr>
        <w:t>Improve access to general health care through community-based case management and education</w:t>
      </w:r>
    </w:p>
    <w:p w:rsidR="00584866" w:rsidRPr="00584866" w:rsidRDefault="00F83AE0" w:rsidP="00A3152C">
      <w:pPr>
        <w:pStyle w:val="ListParagraph"/>
        <w:numPr>
          <w:ilvl w:val="0"/>
          <w:numId w:val="25"/>
        </w:numPr>
        <w:autoSpaceDE w:val="0"/>
        <w:autoSpaceDN w:val="0"/>
        <w:adjustRightInd w:val="0"/>
        <w:rPr>
          <w:rFonts w:asciiTheme="minorHAnsi" w:hAnsiTheme="minorHAnsi"/>
          <w:sz w:val="22"/>
          <w:szCs w:val="22"/>
        </w:rPr>
      </w:pPr>
      <w:r w:rsidRPr="00584866">
        <w:rPr>
          <w:rFonts w:asciiTheme="minorHAnsi" w:hAnsiTheme="minorHAnsi"/>
          <w:sz w:val="22"/>
          <w:szCs w:val="22"/>
        </w:rPr>
        <w:t>Provide palliative care for chronically ill patients</w:t>
      </w:r>
    </w:p>
    <w:p w:rsidR="006108DF" w:rsidRDefault="006108DF" w:rsidP="006108DF">
      <w:pPr>
        <w:rPr>
          <w:sz w:val="22"/>
          <w:szCs w:val="22"/>
        </w:rPr>
      </w:pPr>
    </w:p>
    <w:p w:rsidR="00CD0F39" w:rsidRDefault="00CD0F39" w:rsidP="006108DF">
      <w:pPr>
        <w:rPr>
          <w:sz w:val="22"/>
          <w:szCs w:val="22"/>
        </w:rPr>
      </w:pPr>
    </w:p>
    <w:p w:rsidR="00D85149" w:rsidRDefault="00D85149" w:rsidP="006108DF">
      <w:pPr>
        <w:rPr>
          <w:sz w:val="22"/>
          <w:szCs w:val="22"/>
        </w:rPr>
      </w:pPr>
    </w:p>
    <w:p w:rsidR="00D85149" w:rsidRDefault="00D85149" w:rsidP="006108DF">
      <w:pPr>
        <w:rPr>
          <w:sz w:val="22"/>
          <w:szCs w:val="22"/>
        </w:rPr>
      </w:pPr>
    </w:p>
    <w:p w:rsidR="00D85149" w:rsidRDefault="00F83AE0" w:rsidP="006108DF">
      <w:pPr>
        <w:rPr>
          <w:sz w:val="22"/>
          <w:szCs w:val="22"/>
        </w:rPr>
      </w:pPr>
      <w:r>
        <w:rPr>
          <w:noProof/>
          <w:sz w:val="22"/>
          <w:szCs w:val="22"/>
        </w:rPr>
        <w:lastRenderedPageBreak/>
        <mc:AlternateContent>
          <mc:Choice Requires="wps">
            <w:drawing>
              <wp:anchor distT="0" distB="0" distL="114300" distR="114300" simplePos="0" relativeHeight="251678720" behindDoc="0" locked="0" layoutInCell="1" allowOverlap="1">
                <wp:simplePos x="0" y="0"/>
                <wp:positionH relativeFrom="column">
                  <wp:posOffset>7620</wp:posOffset>
                </wp:positionH>
                <wp:positionV relativeFrom="paragraph">
                  <wp:posOffset>31504</wp:posOffset>
                </wp:positionV>
                <wp:extent cx="5710096" cy="1160891"/>
                <wp:effectExtent l="0" t="0" r="17780" b="7620"/>
                <wp:wrapNone/>
                <wp:docPr id="35" name="Text Box 35"/>
                <wp:cNvGraphicFramePr/>
                <a:graphic xmlns:a="http://schemas.openxmlformats.org/drawingml/2006/main">
                  <a:graphicData uri="http://schemas.microsoft.com/office/word/2010/wordprocessingShape">
                    <wps:wsp>
                      <wps:cNvSpPr txBox="1"/>
                      <wps:spPr>
                        <a:xfrm>
                          <a:off x="0" y="0"/>
                          <a:ext cx="5710096" cy="1160891"/>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F83AE0" w:rsidRPr="00302FA4" w:rsidRDefault="00F83AE0" w:rsidP="00302FA4">
                            <w:pPr>
                              <w:jc w:val="center"/>
                              <w:rPr>
                                <w:rFonts w:ascii="Calibri" w:hAnsi="Calibri" w:cs="Calibri"/>
                                <w:b/>
                                <w:color w:val="2F5496" w:themeColor="accent1" w:themeShade="BF"/>
                                <w:sz w:val="21"/>
                                <w:szCs w:val="21"/>
                              </w:rPr>
                            </w:pPr>
                            <w:r w:rsidRPr="00302FA4">
                              <w:rPr>
                                <w:rFonts w:ascii="Calibri" w:hAnsi="Calibri" w:cs="Calibri"/>
                                <w:b/>
                                <w:color w:val="2F5496" w:themeColor="accent1" w:themeShade="BF"/>
                                <w:sz w:val="21"/>
                                <w:szCs w:val="21"/>
                              </w:rPr>
                              <w:t>Expected outcomes of effective delivery of HIV treatment and care services:</w:t>
                            </w:r>
                          </w:p>
                          <w:p w:rsidR="00F83AE0" w:rsidRPr="00302FA4" w:rsidRDefault="00F83AE0" w:rsidP="00302FA4">
                            <w:pPr>
                              <w:pStyle w:val="ListParagraph"/>
                              <w:numPr>
                                <w:ilvl w:val="0"/>
                                <w:numId w:val="31"/>
                              </w:numPr>
                              <w:spacing w:after="200" w:line="276" w:lineRule="auto"/>
                              <w:rPr>
                                <w:rFonts w:ascii="Calibri" w:hAnsi="Calibri" w:cs="Calibri"/>
                                <w:color w:val="2F5496" w:themeColor="accent1" w:themeShade="BF"/>
                                <w:sz w:val="21"/>
                                <w:szCs w:val="21"/>
                              </w:rPr>
                            </w:pPr>
                            <w:r w:rsidRPr="00302FA4">
                              <w:rPr>
                                <w:rFonts w:ascii="Calibri" w:hAnsi="Calibri" w:cs="Calibri"/>
                                <w:color w:val="2F5496" w:themeColor="accent1" w:themeShade="BF"/>
                                <w:sz w:val="21"/>
                                <w:szCs w:val="21"/>
                              </w:rPr>
                              <w:t>By the end of 2022, the number of people living with HIV receiving ART is 9,900</w:t>
                            </w:r>
                          </w:p>
                          <w:p w:rsidR="00F83AE0" w:rsidRPr="00302FA4" w:rsidRDefault="00F83AE0" w:rsidP="00302FA4">
                            <w:pPr>
                              <w:pStyle w:val="ListParagraph"/>
                              <w:numPr>
                                <w:ilvl w:val="0"/>
                                <w:numId w:val="31"/>
                              </w:numPr>
                              <w:spacing w:after="200" w:line="276" w:lineRule="auto"/>
                              <w:rPr>
                                <w:rFonts w:ascii="Calibri" w:hAnsi="Calibri" w:cs="Calibri"/>
                                <w:color w:val="2F5496" w:themeColor="accent1" w:themeShade="BF"/>
                                <w:sz w:val="21"/>
                                <w:szCs w:val="21"/>
                              </w:rPr>
                            </w:pPr>
                            <w:r w:rsidRPr="00302FA4">
                              <w:rPr>
                                <w:rFonts w:ascii="Calibri" w:hAnsi="Calibri" w:cs="Calibri"/>
                                <w:color w:val="2F5496" w:themeColor="accent1" w:themeShade="BF"/>
                                <w:sz w:val="21"/>
                                <w:szCs w:val="21"/>
                              </w:rPr>
                              <w:t>By the end of 2022, 90% of adults and children with HIV are receiving ARV</w:t>
                            </w:r>
                          </w:p>
                          <w:p w:rsidR="00F83AE0" w:rsidRPr="00302FA4" w:rsidRDefault="00F83AE0" w:rsidP="00302FA4">
                            <w:pPr>
                              <w:pStyle w:val="ListParagraph"/>
                              <w:numPr>
                                <w:ilvl w:val="0"/>
                                <w:numId w:val="31"/>
                              </w:numPr>
                              <w:spacing w:after="200" w:line="276" w:lineRule="auto"/>
                              <w:rPr>
                                <w:rFonts w:ascii="Calibri" w:hAnsi="Calibri" w:cs="Calibri"/>
                                <w:color w:val="2F5496" w:themeColor="accent1" w:themeShade="BF"/>
                                <w:sz w:val="21"/>
                                <w:szCs w:val="21"/>
                              </w:rPr>
                            </w:pPr>
                            <w:r w:rsidRPr="00302FA4">
                              <w:rPr>
                                <w:rFonts w:ascii="Calibri" w:hAnsi="Calibri" w:cs="Calibri"/>
                                <w:color w:val="2F5496" w:themeColor="accent1" w:themeShade="BF"/>
                                <w:sz w:val="21"/>
                                <w:szCs w:val="21"/>
                              </w:rPr>
                              <w:t>By the end of 2022, the percentage of people on ART tested for viral load (VL) with VL level &lt;1000 copies/ml is 90%</w:t>
                            </w:r>
                          </w:p>
                          <w:p w:rsidR="00F83AE0" w:rsidRDefault="00F83AE0"/>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oundrect id="Text Box 35" o:spid="_x0000_s1034" style="position:absolute;margin-left:.6pt;margin-top:2.5pt;width:449.6pt;height:91.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" fillcolor="white [3201]" strokecolor="#4472c4 [3204]" strokeweight="1pt">
                <v:stroke joinstyle="miter"/>
                <v:textbox>
                  <w:txbxContent>
                    <w:p w:rsidR="00F83AE0" w:rsidRPr="00302FA4" w:rsidRDefault="00F83AE0" w:rsidP="00302FA4">
                      <w:pPr>
                        <w:jc w:val="center"/>
                        <w:rPr>
                          <w:rFonts w:ascii="Calibri" w:hAnsi="Calibri" w:cs="Calibri"/>
                          <w:b/>
                          <w:color w:val="2F5496" w:themeColor="accent1" w:themeShade="BF"/>
                          <w:sz w:val="21"/>
                          <w:szCs w:val="21"/>
                        </w:rPr>
                      </w:pPr>
                      <w:r w:rsidRPr="00302FA4">
                        <w:rPr>
                          <w:rFonts w:ascii="Calibri" w:hAnsi="Calibri" w:cs="Calibri"/>
                          <w:b/>
                          <w:color w:val="2F5496" w:themeColor="accent1" w:themeShade="BF"/>
                          <w:sz w:val="21"/>
                          <w:szCs w:val="21"/>
                        </w:rPr>
                        <w:t>Expected outcomes of effective delivery of HIV treatment and care services:</w:t>
                      </w:r>
                    </w:p>
                    <w:p w:rsidR="00F83AE0" w:rsidRPr="00302FA4" w:rsidRDefault="00F83AE0" w:rsidP="00302FA4">
                      <w:pPr>
                        <w:pStyle w:val="ListParagraph"/>
                        <w:numPr>
                          <w:ilvl w:val="0"/>
                          <w:numId w:val="31"/>
                        </w:numPr>
                        <w:spacing w:after="200" w:line="276" w:lineRule="auto"/>
                        <w:rPr>
                          <w:rFonts w:ascii="Calibri" w:hAnsi="Calibri" w:cs="Calibri"/>
                          <w:color w:val="2F5496" w:themeColor="accent1" w:themeShade="BF"/>
                          <w:sz w:val="21"/>
                          <w:szCs w:val="21"/>
                        </w:rPr>
                      </w:pPr>
                      <w:r w:rsidRPr="00302FA4">
                        <w:rPr>
                          <w:rFonts w:ascii="Calibri" w:hAnsi="Calibri" w:cs="Calibri"/>
                          <w:color w:val="2F5496" w:themeColor="accent1" w:themeShade="BF"/>
                          <w:sz w:val="21"/>
                          <w:szCs w:val="21"/>
                        </w:rPr>
                        <w:t>By the end of 2022, the number of people living with HIV receiving ART is 9,900</w:t>
                      </w:r>
                    </w:p>
                    <w:p w:rsidR="00F83AE0" w:rsidRPr="00302FA4" w:rsidRDefault="00F83AE0" w:rsidP="00302FA4">
                      <w:pPr>
                        <w:pStyle w:val="ListParagraph"/>
                        <w:numPr>
                          <w:ilvl w:val="0"/>
                          <w:numId w:val="31"/>
                        </w:numPr>
                        <w:spacing w:after="200" w:line="276" w:lineRule="auto"/>
                        <w:rPr>
                          <w:rFonts w:ascii="Calibri" w:hAnsi="Calibri" w:cs="Calibri"/>
                          <w:color w:val="2F5496" w:themeColor="accent1" w:themeShade="BF"/>
                          <w:sz w:val="21"/>
                          <w:szCs w:val="21"/>
                        </w:rPr>
                      </w:pPr>
                      <w:r w:rsidRPr="00302FA4">
                        <w:rPr>
                          <w:rFonts w:ascii="Calibri" w:hAnsi="Calibri" w:cs="Calibri"/>
                          <w:color w:val="2F5496" w:themeColor="accent1" w:themeShade="BF"/>
                          <w:sz w:val="21"/>
                          <w:szCs w:val="21"/>
                        </w:rPr>
                        <w:t>By the end of 2022, 90% of adults and children with HIV are receiving ARV</w:t>
                      </w:r>
                    </w:p>
                    <w:p w:rsidR="00F83AE0" w:rsidRPr="00302FA4" w:rsidRDefault="00F83AE0" w:rsidP="00302FA4">
                      <w:pPr>
                        <w:pStyle w:val="ListParagraph"/>
                        <w:numPr>
                          <w:ilvl w:val="0"/>
                          <w:numId w:val="31"/>
                        </w:numPr>
                        <w:spacing w:after="200" w:line="276" w:lineRule="auto"/>
                        <w:rPr>
                          <w:rFonts w:ascii="Calibri" w:hAnsi="Calibri" w:cs="Calibri"/>
                          <w:color w:val="2F5496" w:themeColor="accent1" w:themeShade="BF"/>
                          <w:sz w:val="21"/>
                          <w:szCs w:val="21"/>
                        </w:rPr>
                      </w:pPr>
                      <w:r w:rsidRPr="00302FA4">
                        <w:rPr>
                          <w:rFonts w:ascii="Calibri" w:hAnsi="Calibri" w:cs="Calibri"/>
                          <w:color w:val="2F5496" w:themeColor="accent1" w:themeShade="BF"/>
                          <w:sz w:val="21"/>
                          <w:szCs w:val="21"/>
                        </w:rPr>
                        <w:t>By the end of 2022, the percentage of people on ART tested for viral load (VL) with VL level &lt;1000 copies/ml is 90%</w:t>
                      </w:r>
                    </w:p>
                    <w:p w:rsidR="00F83AE0" w:rsidRDefault="00F83AE0"/>
                  </w:txbxContent>
                </v:textbox>
              </v:roundrect>
            </w:pict>
          </mc:Fallback>
        </mc:AlternateContent>
      </w:r>
    </w:p>
    <w:p w:rsidR="00D85149" w:rsidRDefault="00D85149" w:rsidP="006108DF">
      <w:pPr>
        <w:rPr>
          <w:sz w:val="22"/>
          <w:szCs w:val="22"/>
        </w:rPr>
      </w:pPr>
    </w:p>
    <w:p w:rsidR="00D85149" w:rsidRDefault="00D85149" w:rsidP="006108DF">
      <w:pPr>
        <w:rPr>
          <w:sz w:val="22"/>
          <w:szCs w:val="22"/>
        </w:rPr>
      </w:pPr>
    </w:p>
    <w:p w:rsidR="00D02356" w:rsidRDefault="00D02356" w:rsidP="006108DF">
      <w:pPr>
        <w:rPr>
          <w:sz w:val="22"/>
          <w:szCs w:val="22"/>
        </w:rPr>
      </w:pPr>
    </w:p>
    <w:p w:rsidR="00D02356" w:rsidRDefault="00D02356" w:rsidP="006108DF">
      <w:pPr>
        <w:rPr>
          <w:sz w:val="22"/>
          <w:szCs w:val="22"/>
        </w:rPr>
      </w:pPr>
    </w:p>
    <w:p w:rsidR="00D02356" w:rsidRDefault="00D02356" w:rsidP="00D02356">
      <w:pPr>
        <w:pStyle w:val="Heading3"/>
        <w:ind w:left="740"/>
      </w:pPr>
    </w:p>
    <w:p w:rsidR="00D02356" w:rsidRDefault="00D02356" w:rsidP="00D02356">
      <w:pPr>
        <w:pStyle w:val="Heading3"/>
        <w:ind w:left="740"/>
      </w:pPr>
    </w:p>
    <w:p w:rsidR="00D02356" w:rsidRDefault="00D02356" w:rsidP="00D02356">
      <w:pPr>
        <w:pStyle w:val="Heading3"/>
        <w:ind w:left="740"/>
      </w:pPr>
    </w:p>
    <w:p w:rsidR="000B7804" w:rsidRPr="003D223D" w:rsidRDefault="00F83AE0" w:rsidP="00A3152C">
      <w:pPr>
        <w:pStyle w:val="Heading3"/>
        <w:numPr>
          <w:ilvl w:val="1"/>
          <w:numId w:val="2"/>
        </w:numPr>
      </w:pPr>
      <w:bookmarkStart w:id="23" w:name="_Toc517018627"/>
      <w:r>
        <w:rPr>
          <w:rFonts w:cstheme="minorHAnsi"/>
          <w:sz w:val="22"/>
          <w:szCs w:val="22"/>
        </w:rPr>
        <w:t>Governance and Leadership</w:t>
      </w:r>
      <w:r>
        <w:t xml:space="preserve">: </w:t>
      </w:r>
      <w:r w:rsidRPr="0052035C">
        <w:rPr>
          <w:sz w:val="22"/>
          <w:szCs w:val="22"/>
        </w:rPr>
        <w:t>Achievements and Remaining Challenges</w:t>
      </w:r>
      <w:bookmarkEnd w:id="23"/>
    </w:p>
    <w:p w:rsidR="0099724E" w:rsidRDefault="0099724E" w:rsidP="0099724E">
      <w:pPr>
        <w:jc w:val="both"/>
        <w:rPr>
          <w:rFonts w:eastAsia="Calibri" w:cs="Sylfaen"/>
        </w:rPr>
      </w:pPr>
    </w:p>
    <w:p w:rsidR="0099724E" w:rsidRPr="00C437CD" w:rsidRDefault="00F83AE0" w:rsidP="0099724E">
      <w:pPr>
        <w:jc w:val="both"/>
        <w:rPr>
          <w:rFonts w:ascii="Sylfaen" w:eastAsia="Calibri" w:hAnsi="Sylfaen"/>
          <w:sz w:val="22"/>
          <w:szCs w:val="22"/>
          <w:lang w:val="ka-GE"/>
        </w:rPr>
      </w:pPr>
      <w:r>
        <w:rPr>
          <w:rFonts w:asciiTheme="minorHAnsi" w:eastAsia="Calibri" w:hAnsiTheme="minorHAnsi" w:cs="Sylfaen"/>
          <w:sz w:val="22"/>
          <w:szCs w:val="22"/>
        </w:rPr>
        <w:t>Populations h</w:t>
      </w:r>
      <w:r w:rsidRPr="0099724E">
        <w:rPr>
          <w:rFonts w:asciiTheme="minorHAnsi" w:eastAsia="Calibri" w:hAnsiTheme="minorHAnsi" w:cs="Sylfaen"/>
          <w:sz w:val="22"/>
          <w:szCs w:val="22"/>
        </w:rPr>
        <w:t>ealth is one of the priorities declared by the GoG. This is reflected in the governing documents and supported by the 2.5-time increase</w:t>
      </w:r>
      <w:r w:rsidR="00415A52">
        <w:rPr>
          <w:rFonts w:asciiTheme="minorHAnsi" w:eastAsia="Calibri" w:hAnsiTheme="minorHAnsi" w:cs="Sylfaen"/>
          <w:sz w:val="22"/>
          <w:szCs w:val="22"/>
        </w:rPr>
        <w:t xml:space="preserve"> in</w:t>
      </w:r>
      <w:r w:rsidRPr="0099724E">
        <w:rPr>
          <w:rFonts w:asciiTheme="minorHAnsi" w:eastAsia="Calibri" w:hAnsiTheme="minorHAnsi" w:cs="Sylfaen"/>
          <w:sz w:val="22"/>
          <w:szCs w:val="22"/>
        </w:rPr>
        <w:t xml:space="preserve"> state healthcare budget for the years</w:t>
      </w:r>
      <w:r w:rsidRPr="0099724E">
        <w:rPr>
          <w:rFonts w:asciiTheme="minorHAnsi" w:eastAsia="Calibri" w:hAnsiTheme="minorHAnsi"/>
          <w:sz w:val="22"/>
          <w:szCs w:val="22"/>
        </w:rPr>
        <w:t xml:space="preserve"> 2012-2016. The share of the healthcare expenses in the total public expenditures and the total amount of healthcare spending are increasing. Implementation of the Universal Healthcare Program and C Hepatitis Elimination Program and approval of the </w:t>
      </w:r>
      <w:r w:rsidRPr="0099724E">
        <w:rPr>
          <w:rFonts w:asciiTheme="minorHAnsi" w:hAnsiTheme="minorHAnsi" w:cs="Arial"/>
          <w:bCs/>
          <w:sz w:val="22"/>
          <w:szCs w:val="22"/>
        </w:rPr>
        <w:t>National HIV</w:t>
      </w:r>
      <w:r w:rsidRPr="0099724E">
        <w:rPr>
          <w:rFonts w:asciiTheme="minorHAnsi" w:hAnsiTheme="minorHAnsi" w:cs="Arial"/>
          <w:sz w:val="22"/>
          <w:szCs w:val="22"/>
        </w:rPr>
        <w:t>/</w:t>
      </w:r>
      <w:r w:rsidRPr="0099724E">
        <w:rPr>
          <w:rFonts w:asciiTheme="minorHAnsi" w:hAnsiTheme="minorHAnsi" w:cs="Arial"/>
          <w:bCs/>
          <w:sz w:val="22"/>
          <w:szCs w:val="22"/>
        </w:rPr>
        <w:t>AIDS and TB Strategic Plans</w:t>
      </w:r>
      <w:r w:rsidRPr="0099724E">
        <w:rPr>
          <w:rFonts w:asciiTheme="minorHAnsi" w:hAnsiTheme="minorHAnsi" w:cs="Arial"/>
          <w:b/>
          <w:bCs/>
          <w:color w:val="545454"/>
          <w:sz w:val="22"/>
          <w:szCs w:val="22"/>
        </w:rPr>
        <w:t xml:space="preserve"> </w:t>
      </w:r>
      <w:r w:rsidRPr="0099724E">
        <w:rPr>
          <w:rFonts w:asciiTheme="minorHAnsi" w:eastAsia="Calibri" w:hAnsiTheme="minorHAnsi" w:cs="Sylfaen"/>
          <w:sz w:val="22"/>
          <w:szCs w:val="22"/>
        </w:rPr>
        <w:t>are only some of those many activities that demonstrate the GoG commitment towards improving the health status of the population</w:t>
      </w:r>
      <w:r w:rsidRPr="0099724E">
        <w:rPr>
          <w:rFonts w:asciiTheme="minorHAnsi" w:eastAsia="Calibri" w:hAnsiTheme="minorHAnsi"/>
          <w:sz w:val="22"/>
          <w:szCs w:val="22"/>
        </w:rPr>
        <w:t>.</w:t>
      </w:r>
    </w:p>
    <w:p w:rsidR="0099724E" w:rsidRDefault="0099724E" w:rsidP="0099724E">
      <w:pPr>
        <w:jc w:val="both"/>
        <w:rPr>
          <w:rFonts w:asciiTheme="minorHAnsi" w:eastAsia="Calibri" w:hAnsiTheme="minorHAnsi" w:cs="Sylfaen"/>
          <w:sz w:val="22"/>
          <w:szCs w:val="22"/>
        </w:rPr>
      </w:pPr>
    </w:p>
    <w:p w:rsidR="0099724E" w:rsidRPr="0099724E" w:rsidRDefault="00F83AE0" w:rsidP="0099724E">
      <w:pPr>
        <w:rPr>
          <w:rFonts w:asciiTheme="minorHAnsi" w:hAnsiTheme="minorHAnsi"/>
          <w:kern w:val="24"/>
          <w:sz w:val="22"/>
          <w:szCs w:val="22"/>
          <w:lang w:val="en-GB"/>
        </w:rPr>
      </w:pPr>
      <w:r w:rsidRPr="0099724E">
        <w:rPr>
          <w:rFonts w:asciiTheme="minorHAnsi" w:eastAsia="Calibri" w:hAnsiTheme="minorHAnsi" w:cs="Sylfaen"/>
          <w:sz w:val="22"/>
          <w:szCs w:val="22"/>
        </w:rPr>
        <w:t xml:space="preserve">It should also be noted that continuation of repressive </w:t>
      </w:r>
      <w:r w:rsidR="00C3453E">
        <w:rPr>
          <w:rFonts w:asciiTheme="minorHAnsi" w:eastAsia="Calibri" w:hAnsiTheme="minorHAnsi" w:cs="Sylfaen"/>
          <w:sz w:val="22"/>
          <w:szCs w:val="22"/>
        </w:rPr>
        <w:t xml:space="preserve">drug </w:t>
      </w:r>
      <w:r w:rsidRPr="0099724E">
        <w:rPr>
          <w:rFonts w:asciiTheme="minorHAnsi" w:eastAsia="Calibri" w:hAnsiTheme="minorHAnsi" w:cs="Sylfaen"/>
          <w:sz w:val="22"/>
          <w:szCs w:val="22"/>
        </w:rPr>
        <w:t xml:space="preserve">policy can considerably hinder implementation of an effective national </w:t>
      </w:r>
      <w:r w:rsidRPr="0099724E">
        <w:rPr>
          <w:rFonts w:asciiTheme="minorHAnsi" w:eastAsia="Calibri" w:hAnsiTheme="minorHAnsi"/>
          <w:sz w:val="22"/>
          <w:szCs w:val="22"/>
        </w:rPr>
        <w:t xml:space="preserve">HIV/AIDS response. </w:t>
      </w:r>
      <w:r w:rsidRPr="00294336">
        <w:rPr>
          <w:rFonts w:asciiTheme="minorHAnsi" w:hAnsiTheme="minorHAnsi"/>
          <w:kern w:val="24"/>
          <w:sz w:val="22"/>
          <w:szCs w:val="22"/>
          <w:lang w:val="en-GB"/>
        </w:rPr>
        <w:t>There are no legal documents issued by the Ministry of Health about the needle and syringe programs; therefore, the Georgian Harm Reduction Network (GHRN</w:t>
      </w:r>
      <w:r w:rsidRPr="00294336">
        <w:rPr>
          <w:rFonts w:asciiTheme="minorHAnsi" w:hAnsiTheme="minorHAnsi"/>
          <w:kern w:val="24"/>
          <w:sz w:val="22"/>
          <w:szCs w:val="22"/>
        </w:rPr>
        <w:t>)</w:t>
      </w:r>
      <w:r w:rsidRPr="00294336">
        <w:rPr>
          <w:rFonts w:asciiTheme="minorHAnsi" w:hAnsiTheme="minorHAnsi"/>
          <w:kern w:val="24"/>
          <w:sz w:val="22"/>
          <w:szCs w:val="22"/>
          <w:lang w:val="en-GB"/>
        </w:rPr>
        <w:t xml:space="preserve"> implements this program without any legal basis. </w:t>
      </w:r>
      <w:r>
        <w:rPr>
          <w:rFonts w:asciiTheme="minorHAnsi" w:hAnsiTheme="minorHAnsi"/>
          <w:kern w:val="24"/>
          <w:sz w:val="22"/>
          <w:szCs w:val="22"/>
          <w:lang w:val="en-GB"/>
        </w:rPr>
        <w:t xml:space="preserve">Despite the process that has started in the country with the establishment of </w:t>
      </w:r>
      <w:r w:rsidR="00BF4842">
        <w:rPr>
          <w:rFonts w:asciiTheme="minorHAnsi" w:hAnsiTheme="minorHAnsi"/>
          <w:kern w:val="24"/>
          <w:sz w:val="22"/>
          <w:szCs w:val="22"/>
          <w:lang w:val="en-GB"/>
        </w:rPr>
        <w:t>multi</w:t>
      </w:r>
      <w:r>
        <w:rPr>
          <w:rFonts w:asciiTheme="minorHAnsi" w:hAnsiTheme="minorHAnsi"/>
          <w:kern w:val="24"/>
          <w:sz w:val="22"/>
          <w:szCs w:val="22"/>
          <w:lang w:val="en-GB"/>
        </w:rPr>
        <w:t xml:space="preserve">-sectoral </w:t>
      </w:r>
      <w:r w:rsidR="00C3453E">
        <w:rPr>
          <w:rFonts w:asciiTheme="minorHAnsi" w:hAnsiTheme="minorHAnsi"/>
          <w:kern w:val="24"/>
          <w:sz w:val="22"/>
          <w:szCs w:val="22"/>
          <w:lang w:val="en-GB"/>
        </w:rPr>
        <w:t xml:space="preserve">Government </w:t>
      </w:r>
      <w:r>
        <w:rPr>
          <w:rFonts w:asciiTheme="minorHAnsi" w:hAnsiTheme="minorHAnsi"/>
          <w:kern w:val="24"/>
          <w:sz w:val="22"/>
          <w:szCs w:val="22"/>
          <w:lang w:val="en-GB"/>
        </w:rPr>
        <w:t xml:space="preserve">commission chaired by Minister of Justice and active support of drug policy liberalization by Chair of </w:t>
      </w:r>
      <w:r w:rsidR="00BF4842">
        <w:rPr>
          <w:rFonts w:asciiTheme="minorHAnsi" w:hAnsiTheme="minorHAnsi"/>
          <w:kern w:val="24"/>
          <w:sz w:val="22"/>
          <w:szCs w:val="22"/>
          <w:lang w:val="en-GB"/>
        </w:rPr>
        <w:t xml:space="preserve">the </w:t>
      </w:r>
      <w:r>
        <w:rPr>
          <w:rFonts w:asciiTheme="minorHAnsi" w:hAnsiTheme="minorHAnsi"/>
          <w:kern w:val="24"/>
          <w:sz w:val="22"/>
          <w:szCs w:val="22"/>
          <w:lang w:val="en-GB"/>
        </w:rPr>
        <w:t xml:space="preserve">Parliament Committee </w:t>
      </w:r>
      <w:r w:rsidR="00BF4842">
        <w:rPr>
          <w:rFonts w:asciiTheme="minorHAnsi" w:hAnsiTheme="minorHAnsi"/>
          <w:kern w:val="24"/>
          <w:sz w:val="22"/>
          <w:szCs w:val="22"/>
          <w:lang w:val="en-GB"/>
        </w:rPr>
        <w:t xml:space="preserve">on </w:t>
      </w:r>
      <w:r>
        <w:rPr>
          <w:rFonts w:asciiTheme="minorHAnsi" w:hAnsiTheme="minorHAnsi"/>
          <w:kern w:val="24"/>
          <w:sz w:val="22"/>
          <w:szCs w:val="22"/>
          <w:lang w:val="en-GB"/>
        </w:rPr>
        <w:t xml:space="preserve">Health </w:t>
      </w:r>
      <w:r w:rsidR="00BF4842">
        <w:rPr>
          <w:rFonts w:asciiTheme="minorHAnsi" w:hAnsiTheme="minorHAnsi"/>
          <w:kern w:val="24"/>
          <w:sz w:val="22"/>
          <w:szCs w:val="22"/>
          <w:lang w:val="en-GB"/>
        </w:rPr>
        <w:t xml:space="preserve">and </w:t>
      </w:r>
      <w:r>
        <w:rPr>
          <w:rFonts w:asciiTheme="minorHAnsi" w:hAnsiTheme="minorHAnsi"/>
          <w:kern w:val="24"/>
          <w:sz w:val="22"/>
          <w:szCs w:val="22"/>
          <w:lang w:val="en-GB"/>
        </w:rPr>
        <w:t>Social Issues, no considerable change has been introduced so far</w:t>
      </w:r>
      <w:r w:rsidRPr="00294336">
        <w:rPr>
          <w:rFonts w:asciiTheme="minorHAnsi" w:hAnsiTheme="minorHAnsi"/>
          <w:kern w:val="24"/>
          <w:sz w:val="22"/>
          <w:szCs w:val="22"/>
          <w:lang w:val="en-GB"/>
        </w:rPr>
        <w:t xml:space="preserve">. </w:t>
      </w:r>
      <w:r>
        <w:rPr>
          <w:rFonts w:asciiTheme="minorHAnsi" w:hAnsiTheme="minorHAnsi"/>
          <w:kern w:val="24"/>
          <w:sz w:val="22"/>
          <w:szCs w:val="22"/>
          <w:lang w:val="en-GB"/>
        </w:rPr>
        <w:t>Besides the barriers to the expansion of preventive programs, this creates additional tensions in society and contributes to further stigmatization of drug use</w:t>
      </w:r>
      <w:r w:rsidR="00BF4842">
        <w:rPr>
          <w:rFonts w:asciiTheme="minorHAnsi" w:hAnsiTheme="minorHAnsi"/>
          <w:kern w:val="24"/>
          <w:sz w:val="22"/>
          <w:szCs w:val="22"/>
          <w:lang w:val="en-GB"/>
        </w:rPr>
        <w:t>rs</w:t>
      </w:r>
      <w:r>
        <w:rPr>
          <w:rFonts w:asciiTheme="minorHAnsi" w:hAnsiTheme="minorHAnsi"/>
          <w:kern w:val="24"/>
          <w:sz w:val="22"/>
          <w:szCs w:val="22"/>
          <w:lang w:val="en-GB"/>
        </w:rPr>
        <w:t xml:space="preserve">. </w:t>
      </w:r>
      <w:r w:rsidRPr="0099724E">
        <w:rPr>
          <w:rFonts w:asciiTheme="minorHAnsi" w:eastAsia="Calibri" w:hAnsiTheme="minorHAnsi"/>
          <w:sz w:val="22"/>
          <w:szCs w:val="22"/>
        </w:rPr>
        <w:t>Therefore, this problem must be addressed through the policy liberalization before the Global Fund financing is halted.</w:t>
      </w:r>
    </w:p>
    <w:p w:rsidR="0099724E" w:rsidRPr="0099724E" w:rsidRDefault="0099724E" w:rsidP="0099724E">
      <w:pPr>
        <w:rPr>
          <w:rFonts w:asciiTheme="minorHAnsi" w:eastAsia="Calibri" w:hAnsiTheme="minorHAnsi"/>
          <w:sz w:val="22"/>
          <w:szCs w:val="22"/>
        </w:rPr>
      </w:pPr>
    </w:p>
    <w:p w:rsidR="0099724E" w:rsidRPr="0099724E" w:rsidRDefault="00F83AE0" w:rsidP="009C75AD">
      <w:pPr>
        <w:rPr>
          <w:rFonts w:asciiTheme="minorHAnsi" w:eastAsia="Calibri" w:hAnsiTheme="minorHAnsi"/>
          <w:sz w:val="22"/>
          <w:szCs w:val="22"/>
        </w:rPr>
      </w:pPr>
      <w:r w:rsidRPr="0099724E">
        <w:rPr>
          <w:rFonts w:asciiTheme="minorHAnsi" w:eastAsia="Calibri" w:hAnsiTheme="minorHAnsi" w:cs="Sylfaen"/>
          <w:sz w:val="22"/>
          <w:szCs w:val="22"/>
        </w:rPr>
        <w:t>It is also essential for the state to be able to sign contracts with NGOs as</w:t>
      </w:r>
      <w:r w:rsidRPr="0099724E">
        <w:rPr>
          <w:rFonts w:asciiTheme="minorHAnsi" w:eastAsia="Calibri" w:hAnsiTheme="minorHAnsi"/>
          <w:sz w:val="22"/>
          <w:szCs w:val="22"/>
        </w:rPr>
        <w:t xml:space="preserve"> a n</w:t>
      </w:r>
      <w:r w:rsidRPr="0099724E">
        <w:rPr>
          <w:rFonts w:asciiTheme="minorHAnsi" w:eastAsia="Calibri" w:hAnsiTheme="minorHAnsi" w:cs="Sylfaen"/>
          <w:sz w:val="22"/>
          <w:szCs w:val="22"/>
        </w:rPr>
        <w:t>on-governmental sector is a critical player in the effective implementation of preventive measures</w:t>
      </w:r>
      <w:r w:rsidRPr="0099724E">
        <w:rPr>
          <w:rFonts w:asciiTheme="minorHAnsi" w:eastAsia="Calibri" w:hAnsiTheme="minorHAnsi"/>
          <w:sz w:val="22"/>
          <w:szCs w:val="22"/>
        </w:rPr>
        <w:t xml:space="preserve">. Although Georgian legislation allows such contracting, many organizations face problems with meeting requirement of the Public Procurement Law to present a bank guarantee worth 1-2% of the total budget specified in a particular tender proposal. Thus, the ability of </w:t>
      </w:r>
      <w:r w:rsidR="00717B84">
        <w:rPr>
          <w:rFonts w:asciiTheme="minorHAnsi" w:hAnsiTheme="minorHAnsi" w:cstheme="minorHAnsi"/>
          <w:sz w:val="22"/>
          <w:szCs w:val="22"/>
        </w:rPr>
        <w:t>s</w:t>
      </w:r>
      <w:r w:rsidR="00717B84" w:rsidRPr="00717B84">
        <w:rPr>
          <w:rFonts w:asciiTheme="minorHAnsi" w:hAnsiTheme="minorHAnsi" w:cstheme="minorHAnsi"/>
          <w:sz w:val="22"/>
          <w:szCs w:val="22"/>
        </w:rPr>
        <w:t>ome non-</w:t>
      </w:r>
      <w:r w:rsidR="00717B84">
        <w:rPr>
          <w:rFonts w:asciiTheme="minorHAnsi" w:hAnsiTheme="minorHAnsi" w:cstheme="minorHAnsi"/>
          <w:sz w:val="22"/>
          <w:szCs w:val="22"/>
        </w:rPr>
        <w:t>governmental organizations,</w:t>
      </w:r>
      <w:r w:rsidR="00717B84" w:rsidRPr="00717B84">
        <w:rPr>
          <w:rFonts w:asciiTheme="minorHAnsi" w:hAnsiTheme="minorHAnsi" w:cstheme="minorHAnsi"/>
          <w:sz w:val="22"/>
          <w:szCs w:val="22"/>
        </w:rPr>
        <w:t xml:space="preserve"> particularly economically fragile community-based</w:t>
      </w:r>
      <w:r w:rsidR="00717B84" w:rsidRPr="00717B84">
        <w:rPr>
          <w:rFonts w:asciiTheme="minorHAnsi" w:eastAsia="Calibri" w:hAnsiTheme="minorHAnsi" w:cstheme="minorHAnsi"/>
          <w:sz w:val="22"/>
          <w:szCs w:val="22"/>
        </w:rPr>
        <w:t xml:space="preserve"> </w:t>
      </w:r>
      <w:r w:rsidRPr="0099724E">
        <w:rPr>
          <w:rFonts w:asciiTheme="minorHAnsi" w:eastAsia="Calibri" w:hAnsiTheme="minorHAnsi"/>
          <w:sz w:val="22"/>
          <w:szCs w:val="22"/>
        </w:rPr>
        <w:t>organizations to participate in public tenders is limited.</w:t>
      </w:r>
    </w:p>
    <w:p w:rsidR="00A5458A" w:rsidRPr="0099724E" w:rsidRDefault="00A5458A" w:rsidP="00A5458A">
      <w:pPr>
        <w:jc w:val="both"/>
        <w:rPr>
          <w:rFonts w:asciiTheme="minorHAnsi" w:hAnsiTheme="minorHAnsi" w:cstheme="minorHAnsi"/>
          <w:sz w:val="22"/>
          <w:szCs w:val="22"/>
        </w:rPr>
      </w:pPr>
    </w:p>
    <w:p w:rsidR="00294336" w:rsidRDefault="00F83AE0" w:rsidP="00294336">
      <w:pPr>
        <w:rPr>
          <w:rFonts w:asciiTheme="minorHAnsi" w:hAnsiTheme="minorHAnsi"/>
          <w:sz w:val="22"/>
          <w:szCs w:val="22"/>
        </w:rPr>
      </w:pPr>
      <w:r w:rsidRPr="00294336">
        <w:rPr>
          <w:rFonts w:asciiTheme="minorHAnsi" w:hAnsiTheme="minorHAnsi" w:cstheme="minorHAnsi"/>
          <w:sz w:val="22"/>
          <w:szCs w:val="22"/>
        </w:rPr>
        <w:t xml:space="preserve">Stigma and discrimination associated with </w:t>
      </w:r>
      <w:r w:rsidR="009E5F04" w:rsidRPr="00294336">
        <w:rPr>
          <w:rFonts w:asciiTheme="minorHAnsi" w:hAnsiTheme="minorHAnsi" w:cstheme="minorHAnsi"/>
          <w:sz w:val="22"/>
          <w:szCs w:val="22"/>
        </w:rPr>
        <w:t>specific behaviors remain to be a challenge for Georgia</w:t>
      </w:r>
      <w:r w:rsidR="0097506B">
        <w:rPr>
          <w:rFonts w:asciiTheme="minorHAnsi" w:hAnsiTheme="minorHAnsi" w:cstheme="minorHAnsi"/>
          <w:sz w:val="22"/>
          <w:szCs w:val="22"/>
        </w:rPr>
        <w:t>, d</w:t>
      </w:r>
      <w:r w:rsidR="009E5F04" w:rsidRPr="00294336">
        <w:rPr>
          <w:rFonts w:asciiTheme="minorHAnsi" w:hAnsiTheme="minorHAnsi" w:cstheme="minorHAnsi"/>
          <w:sz w:val="22"/>
          <w:szCs w:val="22"/>
        </w:rPr>
        <w:t xml:space="preserve">espite the anti-discrimination law passed in </w:t>
      </w:r>
      <w:r w:rsidRPr="00294336">
        <w:rPr>
          <w:rFonts w:asciiTheme="minorHAnsi" w:hAnsiTheme="minorHAnsi" w:cstheme="minorHAnsi"/>
          <w:sz w:val="22"/>
          <w:szCs w:val="22"/>
        </w:rPr>
        <w:t xml:space="preserve">2004, </w:t>
      </w:r>
      <w:r w:rsidR="009E5F04" w:rsidRPr="00294336">
        <w:rPr>
          <w:rFonts w:asciiTheme="minorHAnsi" w:hAnsiTheme="minorHAnsi" w:cstheme="minorHAnsi"/>
          <w:sz w:val="22"/>
          <w:szCs w:val="22"/>
        </w:rPr>
        <w:t xml:space="preserve"> </w:t>
      </w:r>
      <w:r w:rsidRPr="00294336">
        <w:rPr>
          <w:rFonts w:asciiTheme="minorHAnsi" w:hAnsiTheme="minorHAnsi"/>
          <w:sz w:val="22"/>
          <w:szCs w:val="22"/>
        </w:rPr>
        <w:t>which bans all form of discrimination based on religion, ethnicity, or sexual orientation. The country also has adopted the strategy against violence which focuses mostly on domestic violence, but it contains a section related to discrimination towards people with addictions. Moreover, the powerful Georgian Orthodox Church creates barriers to the application of such documents by direct or indirect opposition via faith community.</w:t>
      </w:r>
    </w:p>
    <w:p w:rsidR="005448FD" w:rsidRDefault="005448FD" w:rsidP="00294336">
      <w:pPr>
        <w:rPr>
          <w:rFonts w:asciiTheme="minorHAnsi" w:hAnsiTheme="minorHAnsi"/>
          <w:sz w:val="22"/>
          <w:szCs w:val="22"/>
        </w:rPr>
      </w:pPr>
    </w:p>
    <w:p w:rsidR="004F5E39" w:rsidRPr="00874213" w:rsidRDefault="00F83AE0" w:rsidP="00A3152C">
      <w:pPr>
        <w:pStyle w:val="ListParagraph"/>
        <w:numPr>
          <w:ilvl w:val="0"/>
          <w:numId w:val="20"/>
        </w:numPr>
        <w:rPr>
          <w:rFonts w:asciiTheme="minorHAnsi" w:hAnsiTheme="minorHAnsi"/>
          <w:sz w:val="22"/>
          <w:szCs w:val="22"/>
        </w:rPr>
      </w:pPr>
      <w:r w:rsidRPr="00874213">
        <w:rPr>
          <w:rFonts w:asciiTheme="minorHAnsi" w:hAnsiTheme="minorHAnsi"/>
          <w:bCs/>
          <w:sz w:val="22"/>
          <w:szCs w:val="22"/>
        </w:rPr>
        <w:t>Create the conducive legal environment to ensure smooth implementation of HIV national response and achieve greater engagement of civil society</w:t>
      </w:r>
    </w:p>
    <w:p w:rsidR="00294336" w:rsidRPr="004F5E39" w:rsidRDefault="00294336" w:rsidP="00294336">
      <w:pPr>
        <w:rPr>
          <w:rFonts w:asciiTheme="minorHAnsi" w:hAnsiTheme="minorHAnsi"/>
          <w:sz w:val="22"/>
          <w:szCs w:val="22"/>
        </w:rPr>
      </w:pPr>
    </w:p>
    <w:p w:rsidR="00FF54B0" w:rsidRPr="00874213" w:rsidRDefault="00F83AE0" w:rsidP="00A3152C">
      <w:pPr>
        <w:pStyle w:val="ListParagraph"/>
        <w:numPr>
          <w:ilvl w:val="0"/>
          <w:numId w:val="17"/>
        </w:numPr>
        <w:rPr>
          <w:rFonts w:asciiTheme="minorHAnsi" w:hAnsiTheme="minorHAnsi"/>
          <w:sz w:val="22"/>
          <w:szCs w:val="22"/>
        </w:rPr>
      </w:pPr>
      <w:r w:rsidRPr="00874213">
        <w:rPr>
          <w:rFonts w:asciiTheme="minorHAnsi" w:hAnsiTheme="minorHAnsi"/>
          <w:sz w:val="22"/>
          <w:szCs w:val="22"/>
        </w:rPr>
        <w:t>Increase Coordination among critical players, relevant government bodies, Parliamentary committees, civil society, the National Platform on Drug Policy Reform</w:t>
      </w:r>
    </w:p>
    <w:p w:rsidR="00FF54B0" w:rsidRPr="00874213" w:rsidRDefault="00F83AE0" w:rsidP="00A3152C">
      <w:pPr>
        <w:numPr>
          <w:ilvl w:val="0"/>
          <w:numId w:val="17"/>
        </w:numPr>
        <w:rPr>
          <w:rFonts w:asciiTheme="minorHAnsi" w:hAnsiTheme="minorHAnsi"/>
          <w:sz w:val="22"/>
          <w:szCs w:val="22"/>
        </w:rPr>
      </w:pPr>
      <w:r w:rsidRPr="00874213">
        <w:rPr>
          <w:rFonts w:asciiTheme="minorHAnsi" w:hAnsiTheme="minorHAnsi"/>
          <w:sz w:val="22"/>
          <w:szCs w:val="22"/>
        </w:rPr>
        <w:t>Monitor and foster policy interventions to remove the legislative barriers for access to HIV Prevention and harm reduction service in civil and penitentiary sectors</w:t>
      </w:r>
    </w:p>
    <w:p w:rsidR="00FF54B0" w:rsidRDefault="00F83AE0" w:rsidP="00A3152C">
      <w:pPr>
        <w:numPr>
          <w:ilvl w:val="0"/>
          <w:numId w:val="17"/>
        </w:numPr>
        <w:rPr>
          <w:rFonts w:asciiTheme="minorHAnsi" w:hAnsiTheme="minorHAnsi"/>
          <w:sz w:val="22"/>
          <w:szCs w:val="22"/>
        </w:rPr>
      </w:pPr>
      <w:r w:rsidRPr="00874213">
        <w:rPr>
          <w:rFonts w:asciiTheme="minorHAnsi" w:hAnsiTheme="minorHAnsi"/>
          <w:sz w:val="22"/>
          <w:szCs w:val="22"/>
        </w:rPr>
        <w:lastRenderedPageBreak/>
        <w:t>Support development and enforcement of the Four-pillar Drug Policy, Anti-Drug Strategy and Action Plan</w:t>
      </w:r>
    </w:p>
    <w:p w:rsidR="00ED384C" w:rsidRDefault="00ED384C" w:rsidP="00ED384C">
      <w:pPr>
        <w:rPr>
          <w:rFonts w:asciiTheme="minorHAnsi" w:hAnsiTheme="minorHAnsi"/>
          <w:b/>
          <w:bCs/>
          <w:sz w:val="22"/>
          <w:szCs w:val="22"/>
        </w:rPr>
      </w:pPr>
    </w:p>
    <w:p w:rsidR="00ED384C" w:rsidRPr="00ED384C" w:rsidRDefault="00F83AE0" w:rsidP="00A3152C">
      <w:pPr>
        <w:pStyle w:val="ListParagraph"/>
        <w:numPr>
          <w:ilvl w:val="0"/>
          <w:numId w:val="20"/>
        </w:numPr>
        <w:rPr>
          <w:rFonts w:asciiTheme="minorHAnsi" w:hAnsiTheme="minorHAnsi"/>
          <w:sz w:val="22"/>
          <w:szCs w:val="22"/>
        </w:rPr>
      </w:pPr>
      <w:r w:rsidRPr="00ED384C">
        <w:rPr>
          <w:rFonts w:asciiTheme="minorHAnsi" w:hAnsiTheme="minorHAnsi"/>
          <w:bCs/>
          <w:sz w:val="22"/>
          <w:szCs w:val="22"/>
        </w:rPr>
        <w:t>Create enabling environment for CSO engagement in HIV national response</w:t>
      </w:r>
    </w:p>
    <w:p w:rsidR="00ED384C" w:rsidRPr="00874213" w:rsidRDefault="00ED384C" w:rsidP="00ED384C">
      <w:pPr>
        <w:rPr>
          <w:rFonts w:asciiTheme="minorHAnsi" w:hAnsiTheme="minorHAnsi"/>
          <w:sz w:val="22"/>
          <w:szCs w:val="22"/>
        </w:rPr>
      </w:pPr>
    </w:p>
    <w:p w:rsidR="00FF54B0" w:rsidRDefault="00F83AE0" w:rsidP="00A3152C">
      <w:pPr>
        <w:numPr>
          <w:ilvl w:val="2"/>
          <w:numId w:val="20"/>
        </w:numPr>
        <w:rPr>
          <w:rFonts w:asciiTheme="minorHAnsi" w:hAnsiTheme="minorHAnsi"/>
          <w:sz w:val="22"/>
          <w:szCs w:val="22"/>
        </w:rPr>
      </w:pPr>
      <w:r w:rsidRPr="00024149">
        <w:rPr>
          <w:rFonts w:asciiTheme="minorHAnsi" w:hAnsiTheme="minorHAnsi"/>
          <w:sz w:val="22"/>
          <w:szCs w:val="22"/>
        </w:rPr>
        <w:t>Assess the barriers and opportunities for  CSOs/CBOs to satisfy the state procurement requirements and in case of need –</w:t>
      </w:r>
      <w:r w:rsidR="009E4DFF">
        <w:rPr>
          <w:rFonts w:asciiTheme="minorHAnsi" w:hAnsiTheme="minorHAnsi"/>
          <w:sz w:val="22"/>
          <w:szCs w:val="22"/>
        </w:rPr>
        <w:t xml:space="preserve"> </w:t>
      </w:r>
      <w:r w:rsidRPr="00024149">
        <w:rPr>
          <w:rFonts w:asciiTheme="minorHAnsi" w:hAnsiTheme="minorHAnsi"/>
          <w:sz w:val="22"/>
          <w:szCs w:val="22"/>
        </w:rPr>
        <w:t>develop and adopt detailed operational manual describing the rule and procedures for contracting CSOs /CBOs for health service delivery</w:t>
      </w:r>
    </w:p>
    <w:p w:rsidR="00FF54B0" w:rsidRPr="00600A75" w:rsidRDefault="00F83AE0" w:rsidP="00A3152C">
      <w:pPr>
        <w:numPr>
          <w:ilvl w:val="2"/>
          <w:numId w:val="20"/>
        </w:numPr>
        <w:rPr>
          <w:rFonts w:asciiTheme="minorHAnsi" w:hAnsiTheme="minorHAnsi"/>
          <w:sz w:val="22"/>
          <w:szCs w:val="22"/>
        </w:rPr>
      </w:pPr>
      <w:r w:rsidRPr="00600A75">
        <w:rPr>
          <w:rFonts w:asciiTheme="minorHAnsi" w:hAnsiTheme="minorHAnsi"/>
          <w:sz w:val="22"/>
          <w:szCs w:val="22"/>
        </w:rPr>
        <w:t>Build Capacity for CSOs/CBOs, their networks, and coalitions – through training and technical assistance in management, resource mobilization for CSOs/CBOs to satisfy the state procurement requirements</w:t>
      </w:r>
    </w:p>
    <w:p w:rsidR="00FF54B0" w:rsidRPr="002727E6" w:rsidRDefault="00F83AE0" w:rsidP="00A3152C">
      <w:pPr>
        <w:numPr>
          <w:ilvl w:val="0"/>
          <w:numId w:val="20"/>
        </w:numPr>
        <w:rPr>
          <w:rFonts w:asciiTheme="minorHAnsi" w:hAnsiTheme="minorHAnsi"/>
          <w:sz w:val="22"/>
          <w:szCs w:val="22"/>
        </w:rPr>
      </w:pPr>
      <w:r w:rsidRPr="002727E6">
        <w:rPr>
          <w:rFonts w:asciiTheme="minorHAnsi" w:hAnsiTheme="minorHAnsi"/>
          <w:sz w:val="22"/>
          <w:szCs w:val="22"/>
        </w:rPr>
        <w:t>Ensure full budgetary commitment and allocative efficiency for national HIV response</w:t>
      </w:r>
    </w:p>
    <w:p w:rsidR="00FF54B0" w:rsidRPr="002727E6" w:rsidRDefault="00F83AE0" w:rsidP="00A3152C">
      <w:pPr>
        <w:numPr>
          <w:ilvl w:val="0"/>
          <w:numId w:val="20"/>
        </w:numPr>
        <w:rPr>
          <w:rFonts w:asciiTheme="minorHAnsi" w:hAnsiTheme="minorHAnsi"/>
          <w:sz w:val="22"/>
          <w:szCs w:val="22"/>
        </w:rPr>
      </w:pPr>
      <w:r w:rsidRPr="002727E6">
        <w:rPr>
          <w:rFonts w:asciiTheme="minorHAnsi" w:hAnsiTheme="minorHAnsi"/>
          <w:sz w:val="22"/>
          <w:szCs w:val="22"/>
        </w:rPr>
        <w:t xml:space="preserve">Ensure Adequate </w:t>
      </w:r>
      <w:r w:rsidR="00A94720">
        <w:rPr>
          <w:rFonts w:asciiTheme="minorHAnsi" w:hAnsiTheme="minorHAnsi"/>
          <w:sz w:val="22"/>
          <w:szCs w:val="22"/>
        </w:rPr>
        <w:t xml:space="preserve">and sustainable </w:t>
      </w:r>
      <w:r w:rsidRPr="002727E6">
        <w:rPr>
          <w:rFonts w:asciiTheme="minorHAnsi" w:hAnsiTheme="minorHAnsi"/>
          <w:sz w:val="22"/>
          <w:szCs w:val="22"/>
        </w:rPr>
        <w:t>staffing in HIV response</w:t>
      </w:r>
      <w:r w:rsidR="00A94720">
        <w:rPr>
          <w:rFonts w:asciiTheme="minorHAnsi" w:hAnsiTheme="minorHAnsi"/>
          <w:sz w:val="22"/>
          <w:szCs w:val="22"/>
        </w:rPr>
        <w:t>, especially for outreach/social workers</w:t>
      </w:r>
    </w:p>
    <w:p w:rsidR="00FF54B0" w:rsidRPr="002727E6" w:rsidRDefault="00F83AE0" w:rsidP="00A3152C">
      <w:pPr>
        <w:numPr>
          <w:ilvl w:val="0"/>
          <w:numId w:val="20"/>
        </w:numPr>
        <w:rPr>
          <w:rFonts w:asciiTheme="minorHAnsi" w:hAnsiTheme="minorHAnsi"/>
          <w:sz w:val="22"/>
          <w:szCs w:val="22"/>
        </w:rPr>
      </w:pPr>
      <w:r w:rsidRPr="002727E6">
        <w:rPr>
          <w:rFonts w:asciiTheme="minorHAnsi" w:hAnsiTheme="minorHAnsi"/>
          <w:sz w:val="22"/>
          <w:szCs w:val="22"/>
        </w:rPr>
        <w:t>Sustainable development of Health Information System in HIV national response</w:t>
      </w:r>
      <w:r w:rsidR="007565C7">
        <w:rPr>
          <w:rFonts w:asciiTheme="minorHAnsi" w:hAnsiTheme="minorHAnsi"/>
          <w:sz w:val="22"/>
          <w:szCs w:val="22"/>
        </w:rPr>
        <w:t xml:space="preserve"> (Bio BSS and PSE funding)</w:t>
      </w:r>
    </w:p>
    <w:p w:rsidR="00FF54B0" w:rsidRPr="002727E6" w:rsidRDefault="00F83AE0" w:rsidP="00A3152C">
      <w:pPr>
        <w:numPr>
          <w:ilvl w:val="0"/>
          <w:numId w:val="20"/>
        </w:numPr>
        <w:rPr>
          <w:rFonts w:asciiTheme="minorHAnsi" w:hAnsiTheme="minorHAnsi"/>
          <w:sz w:val="22"/>
          <w:szCs w:val="22"/>
        </w:rPr>
      </w:pPr>
      <w:r w:rsidRPr="002727E6">
        <w:rPr>
          <w:rFonts w:asciiTheme="minorHAnsi" w:hAnsiTheme="minorHAnsi"/>
          <w:sz w:val="22"/>
          <w:szCs w:val="22"/>
        </w:rPr>
        <w:t>Maintain the effective and functional procurement and supply chain for the HIV/AIDS health products by the relevant national structures</w:t>
      </w:r>
    </w:p>
    <w:p w:rsidR="00600A75" w:rsidRPr="00024149" w:rsidRDefault="00600A75" w:rsidP="00AB7B69">
      <w:pPr>
        <w:ind w:left="720"/>
        <w:rPr>
          <w:rFonts w:asciiTheme="minorHAnsi" w:hAnsiTheme="minorHAnsi"/>
          <w:sz w:val="22"/>
          <w:szCs w:val="22"/>
        </w:rPr>
      </w:pPr>
    </w:p>
    <w:p w:rsidR="00270EDA" w:rsidRDefault="00F83AE0">
      <w:pP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80768" behindDoc="0" locked="0" layoutInCell="1" allowOverlap="1">
                <wp:simplePos x="0" y="0"/>
                <wp:positionH relativeFrom="column">
                  <wp:posOffset>7951</wp:posOffset>
                </wp:positionH>
                <wp:positionV relativeFrom="paragraph">
                  <wp:posOffset>29791</wp:posOffset>
                </wp:positionV>
                <wp:extent cx="5567574" cy="2186608"/>
                <wp:effectExtent l="0" t="0" r="8255" b="10795"/>
                <wp:wrapNone/>
                <wp:docPr id="37" name="Text Box 37"/>
                <wp:cNvGraphicFramePr/>
                <a:graphic xmlns:a="http://schemas.openxmlformats.org/drawingml/2006/main">
                  <a:graphicData uri="http://schemas.microsoft.com/office/word/2010/wordprocessingShape">
                    <wps:wsp>
                      <wps:cNvSpPr txBox="1"/>
                      <wps:spPr>
                        <a:xfrm>
                          <a:off x="0" y="0"/>
                          <a:ext cx="5567574" cy="2186608"/>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F83AE0" w:rsidRPr="00D2382E" w:rsidRDefault="00F83AE0" w:rsidP="00D2382E">
                            <w:pPr>
                              <w:jc w:val="center"/>
                              <w:rPr>
                                <w:rFonts w:ascii="Calibri" w:hAnsi="Calibri" w:cs="Calibri"/>
                                <w:b/>
                                <w:color w:val="2F5496" w:themeColor="accent1" w:themeShade="BF"/>
                                <w:sz w:val="21"/>
                                <w:szCs w:val="21"/>
                              </w:rPr>
                            </w:pPr>
                            <w:r w:rsidRPr="00D2382E">
                              <w:rPr>
                                <w:rFonts w:ascii="Calibri" w:hAnsi="Calibri" w:cs="Calibri"/>
                                <w:b/>
                                <w:color w:val="2F5496" w:themeColor="accent1" w:themeShade="BF"/>
                                <w:sz w:val="21"/>
                                <w:szCs w:val="21"/>
                              </w:rPr>
                              <w:t>Expected outcomes from effective implementation of interventions under Strategic Area 3: Leadership and policy development</w:t>
                            </w:r>
                          </w:p>
                          <w:p w:rsidR="00F83AE0" w:rsidRPr="00D2382E" w:rsidRDefault="00F83AE0" w:rsidP="00D2382E">
                            <w:pPr>
                              <w:jc w:val="center"/>
                              <w:rPr>
                                <w:rFonts w:ascii="Calibri" w:hAnsi="Calibri" w:cs="Calibri"/>
                                <w:b/>
                                <w:color w:val="2F5496" w:themeColor="accent1" w:themeShade="BF"/>
                              </w:rPr>
                            </w:pPr>
                          </w:p>
                          <w:p w:rsidR="00F83AE0" w:rsidRPr="00D2382E" w:rsidRDefault="00F83AE0"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 xml:space="preserve">Coordination of the national </w:t>
                            </w:r>
                            <w:r>
                              <w:rPr>
                                <w:rFonts w:ascii="Calibri" w:hAnsi="Calibri" w:cs="Calibri"/>
                                <w:color w:val="2F5496" w:themeColor="accent1" w:themeShade="BF"/>
                                <w:sz w:val="21"/>
                                <w:szCs w:val="21"/>
                              </w:rPr>
                              <w:t>m</w:t>
                            </w:r>
                            <w:r w:rsidRPr="00D2382E">
                              <w:rPr>
                                <w:rFonts w:ascii="Calibri" w:hAnsi="Calibri" w:cs="Calibri"/>
                                <w:color w:val="2F5496" w:themeColor="accent1" w:themeShade="BF"/>
                                <w:sz w:val="21"/>
                                <w:szCs w:val="21"/>
                              </w:rPr>
                              <w:t>ulti-sectoral response is effective and based on the operational and strategic information which is available for informed decision making</w:t>
                            </w:r>
                          </w:p>
                          <w:p w:rsidR="00F83AE0" w:rsidRPr="00D2382E" w:rsidRDefault="00F83AE0"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Adequate resources are mobilized and required investment assured for the delivery of quality prevention, treatment, care and support services</w:t>
                            </w:r>
                          </w:p>
                          <w:p w:rsidR="00F83AE0" w:rsidRPr="00D2382E" w:rsidRDefault="00F83AE0"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Supportive policies, along with changed societal attitudes and greater involvement of affected communities, provide the conducive environment for effective HIV national response.</w:t>
                            </w:r>
                          </w:p>
                          <w:p w:rsidR="00F83AE0" w:rsidRPr="00D2382E" w:rsidRDefault="00F83AE0">
                            <w:pPr>
                              <w:rPr>
                                <w:color w:val="2F5496" w:themeColor="accent1" w:themeShade="BF"/>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roundrect id="Text Box 37" o:spid="_x0000_s1035" style="position:absolute;margin-left:.65pt;margin-top:2.35pt;width:438.4pt;height:172.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" fillcolor="white [3201]" strokecolor="#4472c4 [3204]" strokeweight="1pt">
                <v:stroke joinstyle="miter"/>
                <v:textbox>
                  <w:txbxContent>
                    <w:p w:rsidR="00F83AE0" w:rsidRPr="00D2382E" w:rsidRDefault="00F83AE0" w:rsidP="00D2382E">
                      <w:pPr>
                        <w:jc w:val="center"/>
                        <w:rPr>
                          <w:rFonts w:ascii="Calibri" w:hAnsi="Calibri" w:cs="Calibri"/>
                          <w:b/>
                          <w:color w:val="2F5496" w:themeColor="accent1" w:themeShade="BF"/>
                          <w:sz w:val="21"/>
                          <w:szCs w:val="21"/>
                        </w:rPr>
                      </w:pPr>
                      <w:r w:rsidRPr="00D2382E">
                        <w:rPr>
                          <w:rFonts w:ascii="Calibri" w:hAnsi="Calibri" w:cs="Calibri"/>
                          <w:b/>
                          <w:color w:val="2F5496" w:themeColor="accent1" w:themeShade="BF"/>
                          <w:sz w:val="21"/>
                          <w:szCs w:val="21"/>
                        </w:rPr>
                        <w:t>Expected outcomes from effective implementation of interventions under Strategic Area 3: Leadership and policy development</w:t>
                      </w:r>
                    </w:p>
                    <w:p w:rsidR="00F83AE0" w:rsidRPr="00D2382E" w:rsidRDefault="00F83AE0" w:rsidP="00D2382E">
                      <w:pPr>
                        <w:jc w:val="center"/>
                        <w:rPr>
                          <w:rFonts w:ascii="Calibri" w:hAnsi="Calibri" w:cs="Calibri"/>
                          <w:b/>
                          <w:color w:val="2F5496" w:themeColor="accent1" w:themeShade="BF"/>
                        </w:rPr>
                      </w:pPr>
                    </w:p>
                    <w:p w:rsidR="00F83AE0" w:rsidRPr="00D2382E" w:rsidRDefault="00F83AE0"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 xml:space="preserve">Coordination of the national </w:t>
                      </w:r>
                      <w:r>
                        <w:rPr>
                          <w:rFonts w:ascii="Calibri" w:hAnsi="Calibri" w:cs="Calibri"/>
                          <w:color w:val="2F5496" w:themeColor="accent1" w:themeShade="BF"/>
                          <w:sz w:val="21"/>
                          <w:szCs w:val="21"/>
                        </w:rPr>
                        <w:t>m</w:t>
                      </w:r>
                      <w:r w:rsidRPr="00D2382E">
                        <w:rPr>
                          <w:rFonts w:ascii="Calibri" w:hAnsi="Calibri" w:cs="Calibri"/>
                          <w:color w:val="2F5496" w:themeColor="accent1" w:themeShade="BF"/>
                          <w:sz w:val="21"/>
                          <w:szCs w:val="21"/>
                        </w:rPr>
                        <w:t>ulti-sectoral response is effective and based on the operational and strategic information which is available for informed decision making</w:t>
                      </w:r>
                    </w:p>
                    <w:p w:rsidR="00F83AE0" w:rsidRPr="00D2382E" w:rsidRDefault="00F83AE0"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Adequate resources are mobilized and required investment assured for the delivery of quality prevention, treatment, care and support services</w:t>
                      </w:r>
                    </w:p>
                    <w:p w:rsidR="00F83AE0" w:rsidRPr="00D2382E" w:rsidRDefault="00F83AE0" w:rsidP="00D2382E">
                      <w:pPr>
                        <w:pStyle w:val="ListParagraph"/>
                        <w:numPr>
                          <w:ilvl w:val="0"/>
                          <w:numId w:val="31"/>
                        </w:numPr>
                        <w:spacing w:after="200" w:line="276" w:lineRule="auto"/>
                        <w:jc w:val="both"/>
                        <w:rPr>
                          <w:rFonts w:ascii="Calibri" w:hAnsi="Calibri" w:cs="Calibri"/>
                          <w:color w:val="2F5496" w:themeColor="accent1" w:themeShade="BF"/>
                          <w:sz w:val="21"/>
                          <w:szCs w:val="21"/>
                        </w:rPr>
                      </w:pPr>
                      <w:r w:rsidRPr="00D2382E">
                        <w:rPr>
                          <w:rFonts w:ascii="Calibri" w:hAnsi="Calibri" w:cs="Calibri"/>
                          <w:color w:val="2F5496" w:themeColor="accent1" w:themeShade="BF"/>
                          <w:sz w:val="21"/>
                          <w:szCs w:val="21"/>
                        </w:rPr>
                        <w:t>Supportive policies, along with changed societal attitudes and greater involvement of affected communities, provide the conducive environment for effective HIV national response.</w:t>
                      </w:r>
                    </w:p>
                    <w:p w:rsidR="00F83AE0" w:rsidRPr="00D2382E" w:rsidRDefault="00F83AE0">
                      <w:pPr>
                        <w:rPr>
                          <w:color w:val="2F5496" w:themeColor="accent1" w:themeShade="BF"/>
                        </w:rPr>
                      </w:pPr>
                    </w:p>
                  </w:txbxContent>
                </v:textbox>
              </v:roundrect>
            </w:pict>
          </mc:Fallback>
        </mc:AlternateContent>
      </w:r>
      <w:r w:rsidR="00270EDA">
        <w:rPr>
          <w:rFonts w:asciiTheme="minorHAnsi" w:hAnsiTheme="minorHAnsi"/>
          <w:sz w:val="22"/>
          <w:szCs w:val="22"/>
        </w:rPr>
        <w:br w:type="page"/>
      </w:r>
    </w:p>
    <w:p w:rsidR="001853A9" w:rsidRPr="007D3BBB" w:rsidRDefault="001853A9" w:rsidP="00AB64EA">
      <w:pPr>
        <w:rPr>
          <w:rFonts w:asciiTheme="minorHAnsi" w:hAnsiTheme="minorHAnsi"/>
          <w:sz w:val="22"/>
          <w:szCs w:val="22"/>
        </w:rPr>
      </w:pPr>
    </w:p>
    <w:p w:rsidR="0050583A" w:rsidRDefault="00F83AE0" w:rsidP="00A3152C">
      <w:pPr>
        <w:pStyle w:val="Heading2"/>
        <w:numPr>
          <w:ilvl w:val="0"/>
          <w:numId w:val="19"/>
        </w:numPr>
      </w:pPr>
      <w:bookmarkStart w:id="24" w:name="_Toc517018628"/>
      <w:r>
        <w:t>Funding Requirements for 2019 – 2022</w:t>
      </w:r>
      <w:r w:rsidR="00DB43EF">
        <w:t xml:space="preserve"> NSP</w:t>
      </w:r>
      <w:bookmarkEnd w:id="24"/>
    </w:p>
    <w:p w:rsidR="002C3EA7" w:rsidRPr="002C3EA7" w:rsidRDefault="002C3EA7" w:rsidP="002C3EA7"/>
    <w:p w:rsidR="00E71FEC" w:rsidRDefault="00E71FEC" w:rsidP="00E71FEC">
      <w:pPr>
        <w:pStyle w:val="Heading3"/>
      </w:pPr>
      <w:bookmarkStart w:id="25" w:name="_Toc517018631"/>
      <w:bookmarkStart w:id="26" w:name="_Toc517018629"/>
      <w:r>
        <w:t>3.1 Current Funding Landscape</w:t>
      </w:r>
      <w:bookmarkEnd w:id="26"/>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Funding for HIV national response in Georgia has been increasing and is projected to continue rising as the rate of infection is rising. Also, international and national targets call for increased coverage and access to prevention, treatment and care services.</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 xml:space="preserve">In this section, we look at funding landscape of HIV response in Georgia for past 4 years, as well as projections made for the following 4-year period. Information about executed/past funding is derived from Global AIDS Monitoring reporting, while the current period is estimated based on budgets approved for specific programs and activities. Projections made for the future period are based on the national Medium-Term Expenditure Framework – Basic Data and Directions (BDD). During this analysis, BDD was approved only up to 2021. However, we used information preliminary provided by the MoLSHA for 2022 projections as well.   </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The sections look at funding from different perspectives: firstly, it analysis the overall national spending level, which cumulatively includes public, private and international sources, while secondly, we look specifically at each source of funding. Thirdly, we have looked at the distribution of those fund by priorities. Also, finally, the section looked at how funds are executed and what reimbursement policies are in place to influence the overall availability of funds.</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For the past period, the national expenditures on HIV/AIDS have been raising. From 2016 to 2018,</w:t>
      </w:r>
      <w:r w:rsidRPr="00A95872">
        <w:rPr>
          <w:rFonts w:ascii="Sylfaen" w:hAnsi="Sylfaen"/>
          <w:sz w:val="22"/>
          <w:szCs w:val="22"/>
          <w:lang w:val="ka-GE"/>
        </w:rPr>
        <w:t xml:space="preserve"> </w:t>
      </w:r>
      <w:r w:rsidRPr="00A95872">
        <w:rPr>
          <w:rFonts w:ascii="Sylfaen" w:hAnsi="Sylfaen"/>
          <w:sz w:val="22"/>
          <w:szCs w:val="22"/>
          <w:lang w:val="en-GB"/>
        </w:rPr>
        <w:t>the</w:t>
      </w:r>
      <w:r w:rsidRPr="00A95872">
        <w:rPr>
          <w:rFonts w:asciiTheme="minorHAnsi" w:hAnsiTheme="minorHAnsi"/>
          <w:sz w:val="22"/>
          <w:szCs w:val="22"/>
        </w:rPr>
        <w:t xml:space="preserve"> total annual expenditure</w:t>
      </w:r>
      <w:r>
        <w:rPr>
          <w:rStyle w:val="FootnoteReference"/>
          <w:rFonts w:asciiTheme="minorHAnsi" w:eastAsiaTheme="majorEastAsia" w:hAnsiTheme="minorHAnsi"/>
          <w:sz w:val="22"/>
          <w:szCs w:val="22"/>
        </w:rPr>
        <w:footnoteReference w:id="32"/>
      </w:r>
      <w:r w:rsidRPr="00A95872">
        <w:rPr>
          <w:rFonts w:asciiTheme="minorHAnsi" w:hAnsiTheme="minorHAnsi"/>
          <w:sz w:val="22"/>
          <w:szCs w:val="22"/>
        </w:rPr>
        <w:t xml:space="preserve"> for HIV response have increased by 16% and is planned to remain approximately 21.6 mln USD per year in the following </w:t>
      </w:r>
      <w:r w:rsidRPr="00A95872">
        <w:rPr>
          <w:rFonts w:asciiTheme="minorHAnsi" w:hAnsiTheme="minorHAnsi"/>
          <w:sz w:val="22"/>
          <w:szCs w:val="22"/>
          <w:lang w:val="en-GB"/>
        </w:rPr>
        <w:t>4-year</w:t>
      </w:r>
      <w:r w:rsidRPr="00A95872">
        <w:rPr>
          <w:rFonts w:asciiTheme="minorHAnsi" w:hAnsiTheme="minorHAnsi"/>
          <w:sz w:val="22"/>
          <w:szCs w:val="22"/>
        </w:rPr>
        <w:t xml:space="preserve"> period. (</w:t>
      </w:r>
      <w:r w:rsidRPr="00A95872">
        <w:rPr>
          <w:rFonts w:asciiTheme="minorHAnsi" w:hAnsiTheme="minorHAnsi"/>
          <w:sz w:val="22"/>
          <w:szCs w:val="22"/>
        </w:rPr>
        <w:fldChar w:fldCharType="begin"/>
      </w:r>
      <w:r w:rsidRPr="00A95872">
        <w:rPr>
          <w:rFonts w:asciiTheme="minorHAnsi" w:hAnsiTheme="minorHAnsi"/>
          <w:sz w:val="22"/>
          <w:szCs w:val="22"/>
        </w:rPr>
        <w:instrText xml:space="preserve"> REF _Ref515543142 \h  \* MERGEFORMAT </w:instrText>
      </w:r>
      <w:r w:rsidRPr="00A95872">
        <w:rPr>
          <w:rFonts w:asciiTheme="minorHAnsi" w:hAnsiTheme="minorHAnsi"/>
          <w:sz w:val="22"/>
          <w:szCs w:val="22"/>
        </w:rPr>
      </w:r>
      <w:r w:rsidRPr="00A95872">
        <w:rPr>
          <w:rFonts w:asciiTheme="minorHAnsi" w:hAnsiTheme="minorHAnsi"/>
          <w:sz w:val="22"/>
          <w:szCs w:val="22"/>
        </w:rPr>
        <w:fldChar w:fldCharType="separate"/>
      </w:r>
      <w:r w:rsidRPr="00406980">
        <w:rPr>
          <w:rFonts w:asciiTheme="minorHAnsi" w:hAnsiTheme="minorHAnsi"/>
          <w:sz w:val="22"/>
          <w:szCs w:val="22"/>
        </w:rPr>
        <w:t xml:space="preserve">Figure </w:t>
      </w:r>
      <w:r w:rsidRPr="00406980">
        <w:rPr>
          <w:rFonts w:asciiTheme="minorHAnsi" w:hAnsiTheme="minorHAnsi"/>
          <w:noProof/>
          <w:sz w:val="22"/>
          <w:szCs w:val="22"/>
        </w:rPr>
        <w:t>13</w:t>
      </w:r>
      <w:r w:rsidRPr="00A95872">
        <w:rPr>
          <w:rFonts w:asciiTheme="minorHAnsi" w:hAnsiTheme="minorHAnsi"/>
          <w:sz w:val="22"/>
          <w:szCs w:val="22"/>
        </w:rPr>
        <w:fldChar w:fldCharType="end"/>
      </w:r>
      <w:r w:rsidRPr="00A95872">
        <w:rPr>
          <w:rFonts w:asciiTheme="minorHAnsi" w:hAnsiTheme="minorHAnsi"/>
          <w:sz w:val="22"/>
          <w:szCs w:val="22"/>
        </w:rPr>
        <w:t>)</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The number of factors has dramatically altered the composition of funding sources for the current and future periods. Those factors include the transition from donor funding to domestic funding and increased obligations under the national HIV resource, such as Hepatitis C Elimination National Program, which is projected to consume up to 42% of total public allocation (2019-2022).</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Nonetheless, Georgia has successfully completed the transition of methadone substitution treatment from donor funding to public funding in 2017 and made the services universally free of charge at the point of use.</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The transition process is not expected to have a dramatic impact on the total level of HIV funding in the country, as the Government of Georgia commits to deliver relatively the same package of services. Other policy factors that might affect the total HIV funding allocation include the elimination of legislative barriers to the use of HIV prevention services and decriminalization of drug use, although, funding needs for those policy changes are not currently accounted within national medium-term funding framework (4 years).</w:t>
      </w:r>
    </w:p>
    <w:p w:rsidR="00E71FEC" w:rsidRPr="00A95872" w:rsidRDefault="00E71FEC" w:rsidP="00E71FEC">
      <w:pPr>
        <w:spacing w:before="120" w:line="276" w:lineRule="auto"/>
        <w:rPr>
          <w:rFonts w:asciiTheme="minorHAnsi" w:hAnsiTheme="minorHAnsi"/>
          <w:b/>
          <w:sz w:val="22"/>
          <w:szCs w:val="22"/>
        </w:rPr>
      </w:pPr>
      <w:r w:rsidRPr="00A95872">
        <w:rPr>
          <w:rFonts w:asciiTheme="minorHAnsi" w:hAnsiTheme="minorHAnsi"/>
          <w:b/>
          <w:sz w:val="22"/>
          <w:szCs w:val="22"/>
        </w:rPr>
        <w:t>Sources of funding</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Primary sources of funding of HIV response in Georgia are domestic (76% in 2018) and international funds (22% in 2018). Private, out-of-pocket expenditures are the insignificant source of funding (≈1%) and include expenditures related to substitution treatment for substance use for individuals who opt-out from public programs.</w:t>
      </w:r>
    </w:p>
    <w:p w:rsidR="00E71FEC"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lastRenderedPageBreak/>
        <w:t>As the transition process from the Global Fund funding to domestic sources intensifies, national HIV funding undergoes profound transformation concerning sources of funding. For example, by 2018, the total expenditures</w:t>
      </w:r>
      <w:r>
        <w:rPr>
          <w:rStyle w:val="FootnoteReference"/>
          <w:rFonts w:asciiTheme="minorHAnsi" w:eastAsiaTheme="majorEastAsia" w:hAnsiTheme="minorHAnsi"/>
          <w:sz w:val="22"/>
          <w:szCs w:val="22"/>
        </w:rPr>
        <w:footnoteReference w:id="33"/>
      </w:r>
      <w:r w:rsidRPr="00A95872">
        <w:rPr>
          <w:rFonts w:asciiTheme="minorHAnsi" w:hAnsiTheme="minorHAnsi"/>
          <w:sz w:val="22"/>
          <w:szCs w:val="22"/>
        </w:rPr>
        <w:t xml:space="preserve"> for HIV response have increased by 16% compared to 2016; meanwhile, the domestic expenditures have </w:t>
      </w:r>
      <w:r>
        <w:rPr>
          <w:rFonts w:asciiTheme="minorHAnsi" w:hAnsiTheme="minorHAnsi"/>
          <w:sz w:val="22"/>
          <w:szCs w:val="22"/>
        </w:rPr>
        <w:t>increased by</w:t>
      </w:r>
      <w:r w:rsidRPr="00A95872">
        <w:rPr>
          <w:rFonts w:asciiTheme="minorHAnsi" w:hAnsiTheme="minorHAnsi"/>
          <w:sz w:val="22"/>
          <w:szCs w:val="22"/>
        </w:rPr>
        <w:t xml:space="preserve"> </w:t>
      </w:r>
      <w:r>
        <w:rPr>
          <w:rFonts w:asciiTheme="minorHAnsi" w:hAnsiTheme="minorHAnsi"/>
          <w:sz w:val="22"/>
          <w:szCs w:val="22"/>
        </w:rPr>
        <w:t>40%</w:t>
      </w:r>
      <w:r w:rsidRPr="00A95872">
        <w:rPr>
          <w:rFonts w:asciiTheme="minorHAnsi" w:hAnsiTheme="minorHAnsi"/>
          <w:sz w:val="22"/>
          <w:szCs w:val="22"/>
        </w:rPr>
        <w:t xml:space="preserve">. Compared with 2016, the annual domestic expenditures are planned to increase by </w:t>
      </w:r>
      <w:r>
        <w:rPr>
          <w:rFonts w:asciiTheme="minorHAnsi" w:hAnsiTheme="minorHAnsi"/>
          <w:sz w:val="22"/>
          <w:szCs w:val="22"/>
        </w:rPr>
        <w:t>57</w:t>
      </w:r>
      <w:r w:rsidRPr="00A95872">
        <w:rPr>
          <w:rFonts w:asciiTheme="minorHAnsi" w:hAnsiTheme="minorHAnsi"/>
          <w:sz w:val="22"/>
          <w:szCs w:val="22"/>
        </w:rPr>
        <w:t>% for 2021 and will cover 8% of total expenditures (</w:t>
      </w:r>
      <w:r w:rsidRPr="00A95872">
        <w:rPr>
          <w:rFonts w:asciiTheme="minorHAnsi" w:hAnsiTheme="minorHAnsi"/>
          <w:sz w:val="22"/>
          <w:szCs w:val="22"/>
          <w:lang w:val="en-GB"/>
        </w:rPr>
        <w:t xml:space="preserve">Figure 14). </w:t>
      </w:r>
      <w:r w:rsidRPr="00A95872">
        <w:rPr>
          <w:rFonts w:asciiTheme="minorHAnsi" w:hAnsiTheme="minorHAnsi"/>
          <w:sz w:val="22"/>
          <w:szCs w:val="22"/>
        </w:rPr>
        <w:t xml:space="preserve"> </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 xml:space="preserve">Furthermore, for the period of this NSP (4 years), total planned expenditures for HIV respond is </w:t>
      </w:r>
      <w:r>
        <w:rPr>
          <w:rFonts w:asciiTheme="minorHAnsi" w:hAnsiTheme="minorHAnsi"/>
          <w:sz w:val="22"/>
          <w:szCs w:val="22"/>
        </w:rPr>
        <w:t>100.7</w:t>
      </w:r>
      <w:r w:rsidRPr="00A95872">
        <w:rPr>
          <w:rFonts w:asciiTheme="minorHAnsi" w:hAnsiTheme="minorHAnsi"/>
          <w:sz w:val="22"/>
          <w:szCs w:val="22"/>
        </w:rPr>
        <w:t xml:space="preserve"> mln USD, out of which 85% </w:t>
      </w:r>
      <w:r>
        <w:rPr>
          <w:rFonts w:asciiTheme="minorHAnsi" w:hAnsiTheme="minorHAnsi"/>
          <w:sz w:val="22"/>
          <w:szCs w:val="22"/>
        </w:rPr>
        <w:t>is expected to</w:t>
      </w:r>
      <w:r w:rsidRPr="00A95872">
        <w:rPr>
          <w:rFonts w:asciiTheme="minorHAnsi" w:hAnsiTheme="minorHAnsi"/>
          <w:sz w:val="22"/>
          <w:szCs w:val="22"/>
        </w:rPr>
        <w:t xml:space="preserve"> be covered from the public budget.  </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International funding mostly received from the Global Fund is projected to nearly halve from 2016 to 2021 and will amount to 1</w:t>
      </w:r>
      <w:r>
        <w:rPr>
          <w:rFonts w:asciiTheme="minorHAnsi" w:hAnsiTheme="minorHAnsi"/>
          <w:sz w:val="22"/>
          <w:szCs w:val="22"/>
        </w:rPr>
        <w:t>1</w:t>
      </w:r>
      <w:r w:rsidRPr="00A95872">
        <w:rPr>
          <w:rFonts w:asciiTheme="minorHAnsi" w:hAnsiTheme="minorHAnsi"/>
          <w:sz w:val="22"/>
          <w:szCs w:val="22"/>
        </w:rPr>
        <w:t>% of total HIV funding, compared to 28% in 2016. According to the Global Fund new transition funding policy, Georgia is projected to complete the transition by 2025.</w:t>
      </w:r>
    </w:p>
    <w:p w:rsidR="00E71FEC" w:rsidRPr="00A95872" w:rsidRDefault="00E71FEC" w:rsidP="00E71FEC">
      <w:pPr>
        <w:spacing w:before="120" w:line="276" w:lineRule="auto"/>
        <w:rPr>
          <w:rFonts w:asciiTheme="minorHAnsi" w:hAnsiTheme="minorHAnsi"/>
          <w:b/>
          <w:sz w:val="22"/>
          <w:szCs w:val="22"/>
        </w:rPr>
      </w:pPr>
      <w:r w:rsidRPr="00A95872">
        <w:rPr>
          <w:rFonts w:asciiTheme="minorHAnsi" w:hAnsiTheme="minorHAnsi"/>
          <w:b/>
          <w:sz w:val="22"/>
          <w:szCs w:val="22"/>
        </w:rPr>
        <w:t>Funding priorities</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During the last few years, funding for the key priorities in HIV response has also changed. While in previous years, the more significant share of public resources was dedicated to treatment, care, and support services, from 2016 the balance is altered towards more funding for prevention services. Overall, for the following period (2019-2021), expenditures for prevention is planned to increase by 7%, compared to the previous period (2016-2018). Key drivers for the increase in spending for prevention are hepatitis C program and substitution treatment for substance use. (</w:t>
      </w:r>
      <w:r w:rsidRPr="00A95872">
        <w:rPr>
          <w:rFonts w:asciiTheme="minorHAnsi" w:hAnsiTheme="minorHAnsi"/>
          <w:sz w:val="22"/>
          <w:szCs w:val="22"/>
        </w:rPr>
        <w:fldChar w:fldCharType="begin"/>
      </w:r>
      <w:r w:rsidRPr="00A95872">
        <w:rPr>
          <w:rFonts w:asciiTheme="minorHAnsi" w:hAnsiTheme="minorHAnsi"/>
          <w:sz w:val="22"/>
          <w:szCs w:val="22"/>
        </w:rPr>
        <w:instrText xml:space="preserve"> REF _Ref515543406 \h  \* MERGEFORMAT </w:instrText>
      </w:r>
      <w:r w:rsidRPr="00A95872">
        <w:rPr>
          <w:rFonts w:asciiTheme="minorHAnsi" w:hAnsiTheme="minorHAnsi"/>
          <w:sz w:val="22"/>
          <w:szCs w:val="22"/>
        </w:rPr>
      </w:r>
      <w:r w:rsidRPr="00A95872">
        <w:rPr>
          <w:rFonts w:asciiTheme="minorHAnsi" w:hAnsiTheme="minorHAnsi"/>
          <w:sz w:val="22"/>
          <w:szCs w:val="22"/>
        </w:rPr>
        <w:fldChar w:fldCharType="separate"/>
      </w:r>
      <w:r w:rsidRPr="00406980">
        <w:rPr>
          <w:rFonts w:asciiTheme="minorHAnsi" w:hAnsiTheme="minorHAnsi"/>
          <w:sz w:val="22"/>
          <w:szCs w:val="22"/>
        </w:rPr>
        <w:t xml:space="preserve">Figure </w:t>
      </w:r>
      <w:r w:rsidRPr="00406980">
        <w:rPr>
          <w:rFonts w:asciiTheme="minorHAnsi" w:hAnsiTheme="minorHAnsi"/>
          <w:noProof/>
          <w:sz w:val="22"/>
          <w:szCs w:val="22"/>
        </w:rPr>
        <w:t>15</w:t>
      </w:r>
      <w:r w:rsidRPr="00A95872">
        <w:rPr>
          <w:rFonts w:asciiTheme="minorHAnsi" w:hAnsiTheme="minorHAnsi"/>
          <w:sz w:val="22"/>
          <w:szCs w:val="22"/>
        </w:rPr>
        <w:fldChar w:fldCharType="end"/>
      </w:r>
      <w:r w:rsidRPr="00A95872">
        <w:rPr>
          <w:rFonts w:asciiTheme="minorHAnsi" w:hAnsiTheme="minorHAnsi"/>
          <w:sz w:val="22"/>
          <w:szCs w:val="22"/>
        </w:rPr>
        <w:t xml:space="preserve">). </w:t>
      </w:r>
    </w:p>
    <w:p w:rsidR="00E71FEC" w:rsidRPr="00A95872" w:rsidRDefault="00E71FEC" w:rsidP="00E71FEC">
      <w:pPr>
        <w:spacing w:before="120" w:line="276" w:lineRule="auto"/>
        <w:rPr>
          <w:rFonts w:asciiTheme="minorHAnsi" w:hAnsiTheme="minorHAnsi"/>
          <w:b/>
          <w:sz w:val="22"/>
          <w:szCs w:val="22"/>
        </w:rPr>
      </w:pPr>
      <w:r w:rsidRPr="00A95872">
        <w:rPr>
          <w:rFonts w:asciiTheme="minorHAnsi" w:hAnsiTheme="minorHAnsi"/>
          <w:b/>
          <w:sz w:val="22"/>
          <w:szCs w:val="22"/>
        </w:rPr>
        <w:t>Financing policies</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HIV prevention and treatment and care services have been free of charge at the point of care (excluding, co-payments for substitution treatment abolished from 2016).</w:t>
      </w:r>
      <w:r w:rsidRPr="00A95872">
        <w:rPr>
          <w:rFonts w:asciiTheme="minorHAnsi" w:hAnsiTheme="minorHAnsi"/>
          <w:sz w:val="22"/>
          <w:szCs w:val="22"/>
          <w:lang w:val="en-GB"/>
        </w:rPr>
        <w:t xml:space="preserve"> For the period of this NSP (2019-2022), it is declared to maintain universal access for HIV services</w:t>
      </w:r>
      <w:r w:rsidRPr="00A95872">
        <w:rPr>
          <w:rFonts w:asciiTheme="minorHAnsi" w:hAnsiTheme="minorHAnsi"/>
          <w:sz w:val="22"/>
          <w:szCs w:val="22"/>
        </w:rPr>
        <w:t>. Even more, access to several services has been expanded: testing for HIV and Hepatitis B and C for the general population (through Hepatitis C Elimination National Program). In general, government</w:t>
      </w:r>
      <w:r>
        <w:rPr>
          <w:rFonts w:asciiTheme="minorHAnsi" w:hAnsiTheme="minorHAnsi"/>
          <w:sz w:val="22"/>
          <w:szCs w:val="22"/>
        </w:rPr>
        <w:t xml:space="preserve"> (or that of Global Funding program administration unit/PR)</w:t>
      </w:r>
      <w:r w:rsidRPr="00A95872">
        <w:rPr>
          <w:rFonts w:asciiTheme="minorHAnsi" w:hAnsiTheme="minorHAnsi"/>
          <w:sz w:val="22"/>
          <w:szCs w:val="22"/>
        </w:rPr>
        <w:t xml:space="preserve"> reimbursement policies have not</w:t>
      </w:r>
      <w:r>
        <w:rPr>
          <w:rFonts w:asciiTheme="minorHAnsi" w:hAnsiTheme="minorHAnsi"/>
          <w:sz w:val="22"/>
          <w:szCs w:val="22"/>
        </w:rPr>
        <w:t xml:space="preserve"> been</w:t>
      </w:r>
      <w:r w:rsidRPr="00A95872">
        <w:rPr>
          <w:rFonts w:asciiTheme="minorHAnsi" w:hAnsiTheme="minorHAnsi"/>
          <w:sz w:val="22"/>
          <w:szCs w:val="22"/>
        </w:rPr>
        <w:t xml:space="preserve"> significantly revised during the implementation period of the previous NSP.  This might generate financial pressure for provider network in the countr</w:t>
      </w:r>
      <w:r>
        <w:rPr>
          <w:rFonts w:asciiTheme="minorHAnsi" w:hAnsiTheme="minorHAnsi"/>
          <w:sz w:val="22"/>
          <w:szCs w:val="22"/>
        </w:rPr>
        <w:t xml:space="preserve">y, as well as significantly influence projected budget of this NSP. </w:t>
      </w:r>
    </w:p>
    <w:p w:rsidR="00E71FEC" w:rsidRPr="00A95872" w:rsidRDefault="00E71FEC" w:rsidP="00E71FEC">
      <w:pPr>
        <w:spacing w:before="120" w:line="276" w:lineRule="auto"/>
        <w:rPr>
          <w:rFonts w:asciiTheme="minorHAnsi" w:hAnsiTheme="minorHAnsi"/>
          <w:b/>
          <w:sz w:val="22"/>
          <w:szCs w:val="22"/>
        </w:rPr>
      </w:pPr>
      <w:r w:rsidRPr="00A95872">
        <w:rPr>
          <w:rFonts w:asciiTheme="minorHAnsi" w:hAnsiTheme="minorHAnsi"/>
          <w:b/>
          <w:sz w:val="22"/>
          <w:szCs w:val="22"/>
        </w:rPr>
        <w:t>Evaluation of HIV Financing Environment</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Funding for HIV services in Georgia has been reliable, with little to no significant interruption. However, the transition from donor funding to domestic funding creates a significant budgetary pressure</w:t>
      </w:r>
      <w:r>
        <w:rPr>
          <w:rFonts w:asciiTheme="minorHAnsi" w:hAnsiTheme="minorHAnsi"/>
          <w:sz w:val="22"/>
          <w:szCs w:val="22"/>
        </w:rPr>
        <w:t xml:space="preserve"> for certain line ministries, such as the Ministry of Health</w:t>
      </w:r>
      <w:r w:rsidRPr="00A95872">
        <w:rPr>
          <w:rFonts w:asciiTheme="minorHAnsi" w:hAnsiTheme="minorHAnsi"/>
          <w:sz w:val="22"/>
          <w:szCs w:val="22"/>
        </w:rPr>
        <w:t>, which is coupled with potential financing challenges associated with a pressure to increase detection and treatment maintenance rates.</w:t>
      </w:r>
    </w:p>
    <w:p w:rsidR="00E71FEC" w:rsidRPr="00A95872" w:rsidRDefault="00E71FEC" w:rsidP="00E71FEC">
      <w:pPr>
        <w:spacing w:before="120" w:line="276" w:lineRule="auto"/>
        <w:rPr>
          <w:rFonts w:asciiTheme="minorHAnsi" w:hAnsiTheme="minorHAnsi"/>
          <w:sz w:val="22"/>
          <w:szCs w:val="22"/>
        </w:rPr>
      </w:pPr>
      <w:r w:rsidRPr="00A95872">
        <w:rPr>
          <w:rFonts w:asciiTheme="minorHAnsi" w:hAnsiTheme="minorHAnsi"/>
          <w:b/>
          <w:sz w:val="22"/>
          <w:szCs w:val="22"/>
        </w:rPr>
        <w:t xml:space="preserve">Financial protection: </w:t>
      </w:r>
      <w:r w:rsidRPr="00A95872">
        <w:rPr>
          <w:rFonts w:asciiTheme="minorHAnsi" w:hAnsiTheme="minorHAnsi"/>
          <w:sz w:val="22"/>
          <w:szCs w:val="22"/>
        </w:rPr>
        <w:t>HIV prevention and treatment services in Georgia are now predominantly funded from public (and international) sources, exerting limited to no financial hardship to individuals and their households. The current knowledge about the national HIV expenditures registers out-of-pocket spending only for small-scale non-state substitution therapy or hospital-based detox treatments.</w:t>
      </w:r>
    </w:p>
    <w:p w:rsidR="00E71FEC" w:rsidRDefault="00E71FEC" w:rsidP="00E71FEC">
      <w:pPr>
        <w:spacing w:before="120" w:line="276" w:lineRule="auto"/>
        <w:rPr>
          <w:rFonts w:asciiTheme="minorHAnsi" w:hAnsiTheme="minorHAnsi"/>
          <w:sz w:val="22"/>
          <w:szCs w:val="22"/>
        </w:rPr>
      </w:pPr>
      <w:r w:rsidRPr="00A95872">
        <w:rPr>
          <w:rFonts w:asciiTheme="minorHAnsi" w:hAnsiTheme="minorHAnsi"/>
          <w:sz w:val="22"/>
          <w:szCs w:val="22"/>
        </w:rPr>
        <w:t xml:space="preserve">Although the topic could have been studied better, the current funding arrangement leaves little to no space for out-of-pocket spending: high-risk groups, as well as general population, can access free </w:t>
      </w:r>
      <w:r w:rsidRPr="00A95872">
        <w:rPr>
          <w:rFonts w:asciiTheme="minorHAnsi" w:hAnsiTheme="minorHAnsi"/>
          <w:sz w:val="22"/>
          <w:szCs w:val="22"/>
        </w:rPr>
        <w:lastRenderedPageBreak/>
        <w:t xml:space="preserve">HIV testing through designated community or healthcare-based service centers; diagnostic services are entirely free of charge at the point of use, and ARV treatment is also fully covered by public sources. Therefore, it could be said that financial protection for HIV services is largely achieved in the country. </w:t>
      </w:r>
    </w:p>
    <w:p w:rsidR="00E71FEC" w:rsidRPr="00FF54B0" w:rsidRDefault="00E71FEC" w:rsidP="00E71FEC"/>
    <w:p w:rsidR="00E71FEC" w:rsidRDefault="00E71FEC" w:rsidP="00E71FEC">
      <w:pPr>
        <w:pStyle w:val="Heading3"/>
      </w:pPr>
      <w:bookmarkStart w:id="27" w:name="_Toc517018630"/>
      <w:r>
        <w:t>3.2 Funding GAP</w:t>
      </w:r>
      <w:bookmarkEnd w:id="27"/>
    </w:p>
    <w:p w:rsidR="00E71FEC" w:rsidRDefault="00E71FEC" w:rsidP="00E71FEC"/>
    <w:p w:rsidR="00E71FEC" w:rsidRPr="000C2784" w:rsidRDefault="00E71FEC" w:rsidP="00E71FEC">
      <w:pPr>
        <w:rPr>
          <w:rFonts w:asciiTheme="minorHAnsi" w:hAnsiTheme="minorHAnsi" w:cstheme="minorHAnsi"/>
          <w:color w:val="FF0000"/>
          <w:sz w:val="22"/>
          <w:szCs w:val="22"/>
        </w:rPr>
      </w:pPr>
      <w:r w:rsidRPr="00832278">
        <w:rPr>
          <w:rFonts w:asciiTheme="minorHAnsi" w:hAnsiTheme="minorHAnsi" w:cstheme="minorHAnsi"/>
          <w:sz w:val="22"/>
          <w:szCs w:val="22"/>
        </w:rPr>
        <w:t xml:space="preserve">It is projected that for the period of this NSP (2019-2022), implementation of HIV response in the country will face a funding gap in the amount of </w:t>
      </w:r>
      <w:r>
        <w:rPr>
          <w:rFonts w:asciiTheme="minorHAnsi" w:hAnsiTheme="minorHAnsi" w:cstheme="minorHAnsi"/>
          <w:sz w:val="22"/>
          <w:szCs w:val="22"/>
        </w:rPr>
        <w:t>9</w:t>
      </w:r>
      <w:r w:rsidRPr="00832278">
        <w:rPr>
          <w:rFonts w:asciiTheme="minorHAnsi" w:hAnsiTheme="minorHAnsi" w:cstheme="minorHAnsi"/>
          <w:sz w:val="22"/>
          <w:szCs w:val="22"/>
        </w:rPr>
        <w:t xml:space="preserve"> mln USD. </w:t>
      </w:r>
    </w:p>
    <w:p w:rsidR="00E71FEC" w:rsidRPr="00832278" w:rsidRDefault="00E71FEC" w:rsidP="00E71FEC">
      <w:pPr>
        <w:rPr>
          <w:rFonts w:asciiTheme="minorHAnsi" w:hAnsiTheme="minorHAnsi" w:cstheme="minorHAnsi"/>
          <w:sz w:val="22"/>
          <w:szCs w:val="22"/>
        </w:rPr>
      </w:pPr>
    </w:p>
    <w:p w:rsidR="00E71FEC" w:rsidRDefault="00E71FEC" w:rsidP="00E71FEC">
      <w:pPr>
        <w:rPr>
          <w:rFonts w:asciiTheme="minorHAnsi" w:hAnsiTheme="minorHAnsi" w:cstheme="minorHAnsi"/>
          <w:sz w:val="22"/>
          <w:szCs w:val="22"/>
        </w:rPr>
      </w:pPr>
      <w:r w:rsidRPr="00832278">
        <w:rPr>
          <w:rFonts w:asciiTheme="minorHAnsi" w:hAnsiTheme="minorHAnsi" w:cstheme="minorHAnsi"/>
          <w:sz w:val="22"/>
          <w:szCs w:val="22"/>
        </w:rPr>
        <w:t xml:space="preserve">Projected funding gap for fiscal year is presented in the table below: </w:t>
      </w:r>
    </w:p>
    <w:p w:rsidR="00E71FEC" w:rsidRDefault="00E71FEC" w:rsidP="00E71FEC">
      <w:pPr>
        <w:rPr>
          <w:rFonts w:asciiTheme="minorHAnsi" w:hAnsiTheme="minorHAnsi" w:cstheme="minorHAnsi"/>
          <w:sz w:val="22"/>
          <w:szCs w:val="22"/>
        </w:rPr>
      </w:pPr>
    </w:p>
    <w:p w:rsidR="00E71FEC" w:rsidRPr="00832278" w:rsidRDefault="00E71FEC" w:rsidP="00E71FEC">
      <w:pPr>
        <w:rPr>
          <w:rFonts w:asciiTheme="minorHAnsi" w:hAnsiTheme="minorHAnsi" w:cstheme="minorHAnsi"/>
          <w:sz w:val="22"/>
          <w:szCs w:val="22"/>
        </w:rPr>
      </w:pPr>
    </w:p>
    <w:tbl>
      <w:tblPr>
        <w:tblStyle w:val="PlainTable1"/>
        <w:tblW w:w="8496" w:type="dxa"/>
        <w:tblLook w:val="04A0" w:firstRow="1" w:lastRow="0" w:firstColumn="1" w:lastColumn="0" w:noHBand="0" w:noVBand="1"/>
      </w:tblPr>
      <w:tblGrid>
        <w:gridCol w:w="1580"/>
        <w:gridCol w:w="2444"/>
        <w:gridCol w:w="2488"/>
        <w:gridCol w:w="1984"/>
      </w:tblGrid>
      <w:tr w:rsidR="00E71FEC" w:rsidTr="00E71FEC">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580" w:type="dxa"/>
          </w:tcPr>
          <w:p w:rsidR="00E71FEC" w:rsidRPr="00097C2D" w:rsidRDefault="00E71FEC" w:rsidP="00FF2733">
            <w:pPr>
              <w:jc w:val="center"/>
              <w:rPr>
                <w:rFonts w:asciiTheme="minorHAnsi" w:hAnsiTheme="minorHAnsi" w:cstheme="minorHAnsi"/>
                <w:b w:val="0"/>
                <w:bCs w:val="0"/>
                <w:color w:val="000000"/>
                <w:sz w:val="22"/>
                <w:szCs w:val="22"/>
              </w:rPr>
            </w:pPr>
            <w:r w:rsidRPr="00097C2D">
              <w:rPr>
                <w:rFonts w:asciiTheme="minorHAnsi" w:hAnsiTheme="minorHAnsi" w:cstheme="minorHAnsi"/>
                <w:color w:val="000000"/>
                <w:sz w:val="22"/>
                <w:szCs w:val="22"/>
              </w:rPr>
              <w:t>Year</w:t>
            </w:r>
          </w:p>
        </w:tc>
        <w:tc>
          <w:tcPr>
            <w:tcW w:w="2444" w:type="dxa"/>
          </w:tcPr>
          <w:p w:rsidR="00E71FEC" w:rsidRPr="00097C2D" w:rsidRDefault="00E71FEC" w:rsidP="00FF273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r>
              <w:rPr>
                <w:rFonts w:asciiTheme="minorHAnsi" w:hAnsiTheme="minorHAnsi" w:cstheme="minorHAnsi"/>
                <w:color w:val="000000"/>
                <w:sz w:val="22"/>
                <w:szCs w:val="22"/>
              </w:rPr>
              <w:t>Total Funding available</w:t>
            </w:r>
          </w:p>
        </w:tc>
        <w:tc>
          <w:tcPr>
            <w:tcW w:w="2488" w:type="dxa"/>
          </w:tcPr>
          <w:p w:rsidR="00E71FEC" w:rsidRPr="00097C2D" w:rsidRDefault="00E71FEC" w:rsidP="00FF273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r w:rsidRPr="00097C2D">
              <w:rPr>
                <w:rFonts w:asciiTheme="minorHAnsi" w:hAnsiTheme="minorHAnsi" w:cstheme="minorHAnsi"/>
                <w:color w:val="000000"/>
                <w:sz w:val="22"/>
                <w:szCs w:val="22"/>
              </w:rPr>
              <w:t>NSP projected activities</w:t>
            </w:r>
          </w:p>
        </w:tc>
        <w:tc>
          <w:tcPr>
            <w:tcW w:w="1984" w:type="dxa"/>
          </w:tcPr>
          <w:p w:rsidR="00E71FEC" w:rsidRPr="00097C2D" w:rsidRDefault="00E71FEC" w:rsidP="00FF273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r w:rsidRPr="00097C2D">
              <w:rPr>
                <w:rFonts w:asciiTheme="minorHAnsi" w:hAnsiTheme="minorHAnsi" w:cstheme="minorHAnsi"/>
                <w:color w:val="000000"/>
                <w:sz w:val="22"/>
                <w:szCs w:val="22"/>
              </w:rPr>
              <w:t>Funding gap</w:t>
            </w:r>
          </w:p>
        </w:tc>
      </w:tr>
      <w:tr w:rsidR="00E71FEC" w:rsidTr="00E71FE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80" w:type="dxa"/>
          </w:tcPr>
          <w:p w:rsidR="00E71FEC" w:rsidRPr="00097C2D" w:rsidRDefault="00E71FEC" w:rsidP="00FF2733">
            <w:pPr>
              <w:rPr>
                <w:rFonts w:asciiTheme="minorHAnsi" w:hAnsiTheme="minorHAnsi" w:cstheme="minorHAnsi"/>
                <w:b w:val="0"/>
                <w:bCs w:val="0"/>
                <w:color w:val="000000"/>
                <w:sz w:val="22"/>
                <w:szCs w:val="22"/>
              </w:rPr>
            </w:pPr>
            <w:r w:rsidRPr="00097C2D">
              <w:rPr>
                <w:rFonts w:asciiTheme="minorHAnsi" w:hAnsiTheme="minorHAnsi" w:cstheme="minorHAnsi"/>
                <w:color w:val="000000"/>
                <w:sz w:val="22"/>
                <w:szCs w:val="22"/>
              </w:rPr>
              <w:t>2019</w:t>
            </w:r>
          </w:p>
        </w:tc>
        <w:tc>
          <w:tcPr>
            <w:tcW w:w="2444" w:type="dxa"/>
          </w:tcPr>
          <w:p w:rsidR="00E71FEC" w:rsidRPr="00097C2D" w:rsidRDefault="00E71FEC" w:rsidP="00FF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24,237,368 </w:t>
            </w:r>
          </w:p>
        </w:tc>
        <w:tc>
          <w:tcPr>
            <w:tcW w:w="2488" w:type="dxa"/>
          </w:tcPr>
          <w:p w:rsidR="00E71FEC" w:rsidRPr="00097C2D" w:rsidRDefault="00E71FEC" w:rsidP="00FF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22,674,974 </w:t>
            </w:r>
          </w:p>
        </w:tc>
        <w:tc>
          <w:tcPr>
            <w:tcW w:w="1984" w:type="dxa"/>
          </w:tcPr>
          <w:p w:rsidR="00E71FEC" w:rsidRPr="00097C2D" w:rsidRDefault="00E71FEC" w:rsidP="00FF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1,562,393 </w:t>
            </w:r>
          </w:p>
        </w:tc>
      </w:tr>
      <w:tr w:rsidR="00E71FEC" w:rsidTr="00E71FEC">
        <w:trPr>
          <w:trHeight w:val="409"/>
        </w:trPr>
        <w:tc>
          <w:tcPr>
            <w:cnfStyle w:val="001000000000" w:firstRow="0" w:lastRow="0" w:firstColumn="1" w:lastColumn="0" w:oddVBand="0" w:evenVBand="0" w:oddHBand="0" w:evenHBand="0" w:firstRowFirstColumn="0" w:firstRowLastColumn="0" w:lastRowFirstColumn="0" w:lastRowLastColumn="0"/>
            <w:tcW w:w="1580" w:type="dxa"/>
          </w:tcPr>
          <w:p w:rsidR="00E71FEC" w:rsidRPr="00097C2D" w:rsidRDefault="00E71FEC" w:rsidP="00FF2733">
            <w:pPr>
              <w:rPr>
                <w:rFonts w:asciiTheme="minorHAnsi" w:hAnsiTheme="minorHAnsi" w:cstheme="minorHAnsi"/>
                <w:b w:val="0"/>
                <w:bCs w:val="0"/>
                <w:color w:val="000000"/>
                <w:sz w:val="22"/>
                <w:szCs w:val="22"/>
              </w:rPr>
            </w:pPr>
            <w:r w:rsidRPr="00097C2D">
              <w:rPr>
                <w:rFonts w:asciiTheme="minorHAnsi" w:hAnsiTheme="minorHAnsi" w:cstheme="minorHAnsi"/>
                <w:color w:val="000000"/>
                <w:sz w:val="22"/>
                <w:szCs w:val="22"/>
              </w:rPr>
              <w:t>2020</w:t>
            </w:r>
          </w:p>
        </w:tc>
        <w:tc>
          <w:tcPr>
            <w:tcW w:w="2444" w:type="dxa"/>
          </w:tcPr>
          <w:p w:rsidR="00E71FEC" w:rsidRPr="00097C2D" w:rsidRDefault="00E71FEC" w:rsidP="00FF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23,221,089 </w:t>
            </w:r>
          </w:p>
        </w:tc>
        <w:tc>
          <w:tcPr>
            <w:tcW w:w="2488" w:type="dxa"/>
          </w:tcPr>
          <w:p w:rsidR="00E71FEC" w:rsidRPr="00097C2D" w:rsidRDefault="00E71FEC" w:rsidP="00FF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24,611,050 </w:t>
            </w:r>
          </w:p>
        </w:tc>
        <w:tc>
          <w:tcPr>
            <w:tcW w:w="1984" w:type="dxa"/>
          </w:tcPr>
          <w:p w:rsidR="00E71FEC" w:rsidRPr="00097C2D" w:rsidRDefault="00E71FEC" w:rsidP="00FF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1,389,961 </w:t>
            </w:r>
          </w:p>
        </w:tc>
      </w:tr>
      <w:tr w:rsidR="00E71FEC" w:rsidTr="00E71FEC">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580" w:type="dxa"/>
          </w:tcPr>
          <w:p w:rsidR="00E71FEC" w:rsidRPr="00097C2D" w:rsidRDefault="00E71FEC" w:rsidP="00FF2733">
            <w:pPr>
              <w:rPr>
                <w:rFonts w:asciiTheme="minorHAnsi" w:hAnsiTheme="minorHAnsi" w:cstheme="minorHAnsi"/>
                <w:b w:val="0"/>
                <w:bCs w:val="0"/>
                <w:color w:val="000000"/>
                <w:sz w:val="22"/>
                <w:szCs w:val="22"/>
              </w:rPr>
            </w:pPr>
            <w:r w:rsidRPr="00097C2D">
              <w:rPr>
                <w:rFonts w:asciiTheme="minorHAnsi" w:hAnsiTheme="minorHAnsi" w:cstheme="minorHAnsi"/>
                <w:color w:val="000000"/>
                <w:sz w:val="22"/>
                <w:szCs w:val="22"/>
              </w:rPr>
              <w:t>2021</w:t>
            </w:r>
          </w:p>
        </w:tc>
        <w:tc>
          <w:tcPr>
            <w:tcW w:w="2444" w:type="dxa"/>
          </w:tcPr>
          <w:p w:rsidR="00E71FEC" w:rsidRPr="00097C2D" w:rsidRDefault="00E71FEC" w:rsidP="00FF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23,047,417 </w:t>
            </w:r>
          </w:p>
        </w:tc>
        <w:tc>
          <w:tcPr>
            <w:tcW w:w="2488" w:type="dxa"/>
          </w:tcPr>
          <w:p w:rsidR="00E71FEC" w:rsidRPr="00097C2D" w:rsidRDefault="00E71FEC" w:rsidP="00FF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26,143,285 </w:t>
            </w:r>
          </w:p>
        </w:tc>
        <w:tc>
          <w:tcPr>
            <w:tcW w:w="1984" w:type="dxa"/>
          </w:tcPr>
          <w:p w:rsidR="00E71FEC" w:rsidRPr="00097C2D" w:rsidRDefault="00E71FEC" w:rsidP="00FF273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3,095,868 </w:t>
            </w:r>
          </w:p>
        </w:tc>
      </w:tr>
      <w:tr w:rsidR="00E71FEC" w:rsidTr="00E71FEC">
        <w:trPr>
          <w:trHeight w:val="406"/>
        </w:trPr>
        <w:tc>
          <w:tcPr>
            <w:cnfStyle w:val="001000000000" w:firstRow="0" w:lastRow="0" w:firstColumn="1" w:lastColumn="0" w:oddVBand="0" w:evenVBand="0" w:oddHBand="0" w:evenHBand="0" w:firstRowFirstColumn="0" w:firstRowLastColumn="0" w:lastRowFirstColumn="0" w:lastRowLastColumn="0"/>
            <w:tcW w:w="1580" w:type="dxa"/>
          </w:tcPr>
          <w:p w:rsidR="00E71FEC" w:rsidRPr="00097C2D" w:rsidRDefault="00E71FEC" w:rsidP="00FF2733">
            <w:pPr>
              <w:rPr>
                <w:rFonts w:asciiTheme="minorHAnsi" w:hAnsiTheme="minorHAnsi" w:cstheme="minorHAnsi"/>
                <w:b w:val="0"/>
                <w:bCs w:val="0"/>
                <w:color w:val="000000"/>
                <w:sz w:val="22"/>
                <w:szCs w:val="22"/>
              </w:rPr>
            </w:pPr>
            <w:r w:rsidRPr="00097C2D">
              <w:rPr>
                <w:rFonts w:asciiTheme="minorHAnsi" w:hAnsiTheme="minorHAnsi" w:cstheme="minorHAnsi"/>
                <w:color w:val="000000"/>
                <w:sz w:val="22"/>
                <w:szCs w:val="22"/>
              </w:rPr>
              <w:t>2022</w:t>
            </w:r>
          </w:p>
        </w:tc>
        <w:tc>
          <w:tcPr>
            <w:tcW w:w="2444" w:type="dxa"/>
          </w:tcPr>
          <w:p w:rsidR="00E71FEC" w:rsidRPr="00097C2D" w:rsidRDefault="00E71FEC" w:rsidP="00FF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21,295,117 </w:t>
            </w:r>
          </w:p>
        </w:tc>
        <w:tc>
          <w:tcPr>
            <w:tcW w:w="2488" w:type="dxa"/>
          </w:tcPr>
          <w:p w:rsidR="00E71FEC" w:rsidRPr="00097C2D" w:rsidRDefault="00E71FEC" w:rsidP="00FF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27,283,564 </w:t>
            </w:r>
          </w:p>
        </w:tc>
        <w:tc>
          <w:tcPr>
            <w:tcW w:w="1984" w:type="dxa"/>
          </w:tcPr>
          <w:p w:rsidR="00E71FEC" w:rsidRPr="00097C2D" w:rsidRDefault="00E71FEC" w:rsidP="00FF2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FF2733">
              <w:rPr>
                <w:rFonts w:asciiTheme="minorHAnsi" w:hAnsiTheme="minorHAnsi" w:cstheme="minorHAnsi"/>
                <w:b/>
                <w:bCs/>
                <w:color w:val="000000"/>
                <w:sz w:val="22"/>
                <w:szCs w:val="22"/>
              </w:rPr>
              <w:t xml:space="preserve">-             5,988,446 </w:t>
            </w:r>
          </w:p>
        </w:tc>
      </w:tr>
    </w:tbl>
    <w:p w:rsidR="00E71FEC" w:rsidRDefault="00E71FEC" w:rsidP="00E71FEC">
      <w:pPr>
        <w:rPr>
          <w:rFonts w:asciiTheme="minorHAnsi" w:hAnsiTheme="minorHAnsi" w:cstheme="minorHAnsi"/>
          <w:sz w:val="22"/>
          <w:szCs w:val="22"/>
        </w:rPr>
      </w:pPr>
      <w:bookmarkStart w:id="28" w:name="_GoBack"/>
      <w:bookmarkEnd w:id="28"/>
    </w:p>
    <w:p w:rsidR="00E71FEC" w:rsidRDefault="00E71FEC" w:rsidP="00E71FEC">
      <w:pPr>
        <w:rPr>
          <w:rFonts w:asciiTheme="minorHAnsi" w:hAnsiTheme="minorHAnsi" w:cstheme="minorHAnsi"/>
          <w:sz w:val="22"/>
          <w:szCs w:val="22"/>
        </w:rPr>
      </w:pPr>
      <w:r>
        <w:rPr>
          <w:rFonts w:asciiTheme="minorHAnsi" w:hAnsiTheme="minorHAnsi" w:cstheme="minorHAnsi"/>
          <w:sz w:val="22"/>
          <w:szCs w:val="22"/>
        </w:rPr>
        <w:t>However, if analyzed activities focused only on prevention, detection and treatment of HIV/AIDS (currently being funded from the state HIV program and the Global Fund), the gap is larger</w:t>
      </w:r>
      <w:r>
        <w:rPr>
          <w:rStyle w:val="FootnoteReference"/>
          <w:rFonts w:asciiTheme="minorHAnsi" w:hAnsiTheme="minorHAnsi" w:cstheme="minorHAnsi"/>
          <w:sz w:val="22"/>
          <w:szCs w:val="22"/>
        </w:rPr>
        <w:footnoteReference w:id="34"/>
      </w:r>
      <w:r>
        <w:rPr>
          <w:rFonts w:asciiTheme="minorHAnsi" w:hAnsiTheme="minorHAnsi" w:cstheme="minorHAnsi"/>
          <w:sz w:val="22"/>
          <w:szCs w:val="22"/>
        </w:rPr>
        <w:t xml:space="preserve"> requiring approximately 35% annual increase of the program’s budget (either through relocating from other BDD lines, or through from other sources) </w:t>
      </w:r>
    </w:p>
    <w:p w:rsidR="00E71FEC" w:rsidRPr="00832278" w:rsidRDefault="00E71FEC" w:rsidP="00E71FEC">
      <w:pPr>
        <w:rPr>
          <w:rFonts w:asciiTheme="minorHAnsi" w:hAnsiTheme="minorHAnsi" w:cstheme="minorHAnsi"/>
          <w:sz w:val="22"/>
          <w:szCs w:val="22"/>
        </w:rPr>
      </w:pPr>
    </w:p>
    <w:p w:rsidR="00E71FEC" w:rsidRDefault="00E71FEC" w:rsidP="00E71FEC">
      <w:pPr>
        <w:rPr>
          <w:rFonts w:asciiTheme="minorHAnsi" w:hAnsiTheme="minorHAnsi" w:cstheme="minorHAnsi"/>
          <w:sz w:val="22"/>
          <w:szCs w:val="22"/>
        </w:rPr>
      </w:pPr>
      <w:r w:rsidRPr="00832278">
        <w:rPr>
          <w:rFonts w:asciiTheme="minorHAnsi" w:hAnsiTheme="minorHAnsi" w:cstheme="minorHAnsi"/>
          <w:sz w:val="22"/>
          <w:szCs w:val="22"/>
        </w:rPr>
        <w:t>Activities being underfunded mainly in the projected years include HIV prevention activities, and activities in the management and leadership domain, which includes activities necessary for successful transition from donor funding to domestics funding mechanisms (see Transition and Sustainability Plan for Georgia).</w:t>
      </w:r>
    </w:p>
    <w:p w:rsidR="00E71FEC" w:rsidRDefault="00E71FEC" w:rsidP="00E71FEC">
      <w:pPr>
        <w:rPr>
          <w:rFonts w:asciiTheme="minorHAnsi" w:hAnsiTheme="minorHAnsi" w:cstheme="minorHAnsi"/>
          <w:sz w:val="22"/>
          <w:szCs w:val="22"/>
        </w:rPr>
      </w:pPr>
    </w:p>
    <w:p w:rsidR="00E71FEC" w:rsidRDefault="00E71FEC" w:rsidP="00E71FEC">
      <w:pPr>
        <w:jc w:val="both"/>
        <w:rPr>
          <w:rFonts w:asciiTheme="minorHAnsi" w:hAnsiTheme="minorHAnsi" w:cstheme="minorHAnsi"/>
          <w:sz w:val="22"/>
          <w:szCs w:val="22"/>
        </w:rPr>
      </w:pPr>
      <w:r>
        <w:rPr>
          <w:rFonts w:asciiTheme="minorHAnsi" w:hAnsiTheme="minorHAnsi" w:cstheme="minorHAnsi"/>
          <w:sz w:val="22"/>
          <w:szCs w:val="22"/>
        </w:rPr>
        <w:t xml:space="preserve">The key driver for this increase is costs related to significantly higher rates for detection and treatment of HIV, projected as a part of 90-90-90 targets. For example, this called for increased HIV detection activities (currently budgeted for over 7 mln USD) and for the provision of ARV, hospital and outpatient care services for the increased number of PLHIV. Overall, by the end of 2022, it is projected that the number of individuals on ARV treatment will triple.  </w:t>
      </w:r>
    </w:p>
    <w:p w:rsidR="00E71FEC" w:rsidRPr="00832278" w:rsidRDefault="00E71FEC" w:rsidP="00E71FEC">
      <w:pPr>
        <w:rPr>
          <w:rFonts w:asciiTheme="minorHAnsi" w:hAnsiTheme="minorHAnsi" w:cstheme="minorHAnsi"/>
          <w:sz w:val="22"/>
          <w:szCs w:val="22"/>
        </w:rPr>
      </w:pPr>
    </w:p>
    <w:p w:rsidR="00E71FEC" w:rsidRDefault="00E71FEC" w:rsidP="00E71FEC">
      <w:pPr>
        <w:rPr>
          <w:rFonts w:asciiTheme="minorHAnsi" w:hAnsiTheme="minorHAnsi" w:cstheme="minorHAnsi"/>
          <w:sz w:val="22"/>
          <w:szCs w:val="22"/>
        </w:rPr>
      </w:pPr>
      <w:r w:rsidRPr="00036210">
        <w:rPr>
          <w:rFonts w:asciiTheme="minorHAnsi" w:hAnsiTheme="minorHAnsi" w:cstheme="minorHAnsi"/>
          <w:sz w:val="22"/>
          <w:szCs w:val="22"/>
        </w:rPr>
        <w:t>Basic Data and Direction’s document, which stipulates allocation ceilings for 2019 to 2021, shows that allocations have increased for HCV prevention activities, and OST treatment (where transition process to domestic funding has been completed). However, allocations necessary for transition of HIV response components, such as HIV prevention among KAPs, are not included in the national medium-term expenditure framework.</w:t>
      </w:r>
      <w:r w:rsidRPr="00832278">
        <w:rPr>
          <w:rFonts w:asciiTheme="minorHAnsi" w:hAnsiTheme="minorHAnsi" w:cstheme="minorHAnsi"/>
          <w:sz w:val="22"/>
          <w:szCs w:val="22"/>
        </w:rPr>
        <w:t xml:space="preserve"> </w:t>
      </w:r>
    </w:p>
    <w:p w:rsidR="002F6D32" w:rsidRPr="002F6D32" w:rsidRDefault="00F83AE0" w:rsidP="00E17741">
      <w:pPr>
        <w:pStyle w:val="Heading2"/>
        <w:numPr>
          <w:ilvl w:val="0"/>
          <w:numId w:val="19"/>
        </w:numPr>
      </w:pPr>
      <w:r>
        <w:t>Monitoring and Evaluation framework</w:t>
      </w:r>
      <w:bookmarkEnd w:id="25"/>
      <w:r>
        <w:t xml:space="preserve"> </w:t>
      </w:r>
    </w:p>
    <w:p w:rsidR="00901FF4" w:rsidRPr="00901FF4" w:rsidRDefault="00901FF4" w:rsidP="00901FF4"/>
    <w:p w:rsidR="00670B40" w:rsidRDefault="00F83AE0" w:rsidP="00670B40">
      <w:pPr>
        <w:rPr>
          <w:rFonts w:ascii="Calibri" w:hAnsi="Calibri" w:cs="Calibri"/>
          <w:sz w:val="22"/>
          <w:szCs w:val="22"/>
        </w:rPr>
      </w:pPr>
      <w:r w:rsidRPr="00670B40">
        <w:rPr>
          <w:rFonts w:ascii="Calibri" w:hAnsi="Calibri" w:cs="Calibri"/>
          <w:sz w:val="22"/>
          <w:szCs w:val="22"/>
        </w:rPr>
        <w:t xml:space="preserve">The HIV NSP for 2019-2022 is accompanied by the M&amp;E framework </w:t>
      </w:r>
      <w:r w:rsidRPr="0030367C">
        <w:rPr>
          <w:rFonts w:asciiTheme="minorHAnsi" w:hAnsiTheme="minorHAnsi" w:cs="Calibri"/>
          <w:sz w:val="22"/>
          <w:szCs w:val="22"/>
        </w:rPr>
        <w:t>(</w:t>
      </w:r>
      <w:r w:rsidR="0030367C" w:rsidRPr="0030367C">
        <w:rPr>
          <w:rFonts w:asciiTheme="minorHAnsi" w:hAnsiTheme="minorHAnsi" w:cs="Calibri"/>
          <w:sz w:val="22"/>
          <w:szCs w:val="22"/>
        </w:rPr>
        <w:fldChar w:fldCharType="begin"/>
      </w:r>
      <w:r w:rsidR="0030367C" w:rsidRPr="0030367C">
        <w:rPr>
          <w:rFonts w:asciiTheme="minorHAnsi" w:hAnsiTheme="minorHAnsi" w:cs="Calibri"/>
          <w:sz w:val="22"/>
          <w:szCs w:val="22"/>
        </w:rPr>
        <w:instrText xml:space="preserve"> REF _Ref516843019 \h  \* MERGEFORMAT </w:instrText>
      </w:r>
      <w:r w:rsidR="0030367C" w:rsidRPr="0030367C">
        <w:rPr>
          <w:rFonts w:asciiTheme="minorHAnsi" w:hAnsiTheme="minorHAnsi" w:cs="Calibri"/>
          <w:sz w:val="22"/>
          <w:szCs w:val="22"/>
        </w:rPr>
      </w:r>
      <w:r w:rsidR="0030367C" w:rsidRPr="0030367C">
        <w:rPr>
          <w:rFonts w:asciiTheme="minorHAnsi" w:hAnsiTheme="minorHAnsi" w:cs="Calibri"/>
          <w:sz w:val="22"/>
          <w:szCs w:val="22"/>
        </w:rPr>
        <w:fldChar w:fldCharType="separate"/>
      </w:r>
      <w:r w:rsidR="00406980" w:rsidRPr="00406980">
        <w:rPr>
          <w:rFonts w:asciiTheme="minorHAnsi" w:hAnsiTheme="minorHAnsi"/>
          <w:sz w:val="22"/>
          <w:szCs w:val="22"/>
        </w:rPr>
        <w:t xml:space="preserve">Annex </w:t>
      </w:r>
      <w:r w:rsidR="00406980" w:rsidRPr="00406980">
        <w:rPr>
          <w:rFonts w:asciiTheme="minorHAnsi" w:hAnsiTheme="minorHAnsi"/>
          <w:noProof/>
          <w:sz w:val="22"/>
          <w:szCs w:val="22"/>
        </w:rPr>
        <w:t>3</w:t>
      </w:r>
      <w:r w:rsidR="0030367C" w:rsidRPr="0030367C">
        <w:rPr>
          <w:rFonts w:asciiTheme="minorHAnsi" w:hAnsiTheme="minorHAnsi" w:cs="Calibri"/>
          <w:sz w:val="22"/>
          <w:szCs w:val="22"/>
        </w:rPr>
        <w:fldChar w:fldCharType="end"/>
      </w:r>
      <w:r w:rsidRPr="0030367C">
        <w:rPr>
          <w:rFonts w:asciiTheme="minorHAnsi" w:hAnsiTheme="minorHAnsi" w:cs="Calibri"/>
          <w:sz w:val="22"/>
          <w:szCs w:val="22"/>
        </w:rPr>
        <w:t>)</w:t>
      </w:r>
      <w:r w:rsidRPr="00670B40">
        <w:rPr>
          <w:rFonts w:ascii="Calibri" w:hAnsi="Calibri" w:cs="Calibri"/>
          <w:sz w:val="22"/>
          <w:szCs w:val="22"/>
        </w:rPr>
        <w:t xml:space="preserve"> that identifies a set of SMART indicators of different levels: impact, outcome and coverage/output level indicators. A total </w:t>
      </w:r>
      <w:r w:rsidRPr="00670B40">
        <w:rPr>
          <w:rFonts w:ascii="Calibri" w:hAnsi="Calibri" w:cs="Calibri"/>
          <w:sz w:val="22"/>
          <w:szCs w:val="22"/>
        </w:rPr>
        <w:lastRenderedPageBreak/>
        <w:t xml:space="preserve">of 84 indicators are proposed to monitor and report on progress toward achieving the NSP goals and strategic objectives. There are 7 impact and 8 outcome indicators that help monitor the signs of evolving HIV epidemics among the key affected population and the general public. Indicators allow assessing the impact of HIV national response on health and well-being of people infected with and affected by HIV in Georgia. Output level indicators include topic-specific measurements for monitoring HIV service coverage, the quality of services, policy development, governance and accountability, HIV-related research, health information system, as well as HIV financing.   </w:t>
      </w:r>
    </w:p>
    <w:p w:rsidR="00A62639" w:rsidRPr="00670B40" w:rsidRDefault="00A62639" w:rsidP="00670B40">
      <w:pPr>
        <w:rPr>
          <w:rFonts w:ascii="Calibri" w:hAnsi="Calibri" w:cs="Calibri"/>
          <w:sz w:val="22"/>
          <w:szCs w:val="22"/>
        </w:rPr>
      </w:pPr>
    </w:p>
    <w:p w:rsidR="00670B40" w:rsidRDefault="00F83AE0" w:rsidP="00670B40">
      <w:pPr>
        <w:rPr>
          <w:rFonts w:ascii="Calibri" w:hAnsi="Calibri" w:cs="Calibri"/>
          <w:sz w:val="22"/>
          <w:szCs w:val="22"/>
        </w:rPr>
      </w:pPr>
      <w:r w:rsidRPr="00670B40">
        <w:rPr>
          <w:rFonts w:ascii="Calibri" w:hAnsi="Calibri" w:cs="Calibri"/>
          <w:sz w:val="22"/>
          <w:szCs w:val="22"/>
        </w:rPr>
        <w:t>Most national indicators are consistent with previous NSPs to allow trend analysis across years and assess if the national HIV response is continuously moving in the right direction to mitigate the impact of HIV epidemics and achieve the ambitious goal of 90-90-90. Some indicators were revised, and few new indicators were added to be aligned with the SDGs, Global Health Indicators, and WHO defined EMTCT goals. Where applicable, changes to Global AIDS Monitoring 2018 requirements</w:t>
      </w:r>
      <w:r>
        <w:rPr>
          <w:rStyle w:val="FootnoteReference"/>
          <w:rFonts w:ascii="Calibri" w:hAnsi="Calibri" w:cs="Calibri"/>
          <w:sz w:val="22"/>
          <w:szCs w:val="22"/>
        </w:rPr>
        <w:footnoteReference w:id="35"/>
      </w:r>
      <w:r w:rsidRPr="00670B40">
        <w:rPr>
          <w:rFonts w:ascii="Calibri" w:hAnsi="Calibri" w:cs="Calibri"/>
          <w:sz w:val="22"/>
          <w:szCs w:val="22"/>
        </w:rPr>
        <w:t xml:space="preserve"> have also been considered.  </w:t>
      </w:r>
    </w:p>
    <w:p w:rsidR="00A62639" w:rsidRPr="00670B40" w:rsidRDefault="00A62639" w:rsidP="00670B40">
      <w:pPr>
        <w:rPr>
          <w:rFonts w:ascii="Calibri" w:hAnsi="Calibri" w:cs="Calibri"/>
          <w:sz w:val="22"/>
          <w:szCs w:val="22"/>
        </w:rPr>
      </w:pPr>
    </w:p>
    <w:p w:rsidR="00670B40" w:rsidRPr="00670B40" w:rsidRDefault="00F83AE0" w:rsidP="00670B40">
      <w:pPr>
        <w:rPr>
          <w:rFonts w:ascii="Calibri" w:hAnsi="Calibri" w:cs="Calibri"/>
          <w:sz w:val="22"/>
          <w:szCs w:val="22"/>
        </w:rPr>
      </w:pPr>
      <w:r w:rsidRPr="00670B40">
        <w:rPr>
          <w:rFonts w:ascii="Calibri" w:hAnsi="Calibri" w:cs="Calibri"/>
          <w:sz w:val="22"/>
          <w:szCs w:val="22"/>
        </w:rPr>
        <w:t>The Framework displays baseline values and sets annual targets. Indicators and targets were defined through the participatory process involving wide-range of critical stakeholders. Consultation meetings were held with national experts, the program implementing partners from government institutions and civil society, including community-based organizations and constituencies.</w:t>
      </w:r>
    </w:p>
    <w:p w:rsidR="006A1ABE" w:rsidRDefault="006A1ABE"/>
    <w:p w:rsidR="000944EF" w:rsidRPr="000944EF" w:rsidRDefault="000944EF" w:rsidP="000944EF">
      <w:pPr>
        <w:pStyle w:val="Default"/>
        <w:rPr>
          <w:rFonts w:asciiTheme="minorHAnsi" w:hAnsiTheme="minorHAnsi"/>
          <w:sz w:val="22"/>
          <w:szCs w:val="22"/>
        </w:rPr>
      </w:pPr>
      <w:r w:rsidRPr="000944EF">
        <w:rPr>
          <w:rFonts w:asciiTheme="minorHAnsi" w:hAnsiTheme="minorHAnsi"/>
          <w:sz w:val="22"/>
          <w:szCs w:val="22"/>
        </w:rPr>
        <w:t>Timely access to strategic information, including surveillance and monitoring data is essential for planning and implementation of effective responses and timely adjustments in line with the changing contextual factors</w:t>
      </w:r>
      <w:r>
        <w:rPr>
          <w:rFonts w:asciiTheme="minorHAnsi" w:hAnsiTheme="minorHAnsi"/>
          <w:sz w:val="22"/>
          <w:szCs w:val="22"/>
        </w:rPr>
        <w:t>, this will require</w:t>
      </w:r>
      <w:r>
        <w:t xml:space="preserve"> </w:t>
      </w:r>
      <w:r>
        <w:rPr>
          <w:rFonts w:asciiTheme="minorHAnsi" w:hAnsiTheme="minorHAnsi"/>
          <w:sz w:val="22"/>
          <w:szCs w:val="22"/>
        </w:rPr>
        <w:t>f</w:t>
      </w:r>
      <w:r w:rsidRPr="000944EF">
        <w:rPr>
          <w:rFonts w:asciiTheme="minorHAnsi" w:hAnsiTheme="minorHAnsi"/>
          <w:sz w:val="22"/>
          <w:szCs w:val="22"/>
        </w:rPr>
        <w:t xml:space="preserve">urther strengthening of surveillance and program monitoring and evaluation systems. </w:t>
      </w:r>
      <w:r w:rsidRPr="000944EF">
        <w:rPr>
          <w:rFonts w:asciiTheme="minorHAnsi" w:hAnsiTheme="minorHAnsi"/>
          <w:color w:val="auto"/>
          <w:sz w:val="22"/>
          <w:szCs w:val="22"/>
        </w:rPr>
        <w:t xml:space="preserve"> </w:t>
      </w:r>
    </w:p>
    <w:p w:rsidR="000944EF" w:rsidRDefault="000944EF" w:rsidP="000944EF">
      <w:pPr>
        <w:pStyle w:val="Default"/>
        <w:rPr>
          <w:rFonts w:asciiTheme="minorHAnsi" w:hAnsiTheme="minorHAnsi"/>
          <w:color w:val="auto"/>
          <w:sz w:val="22"/>
          <w:szCs w:val="22"/>
        </w:rPr>
      </w:pPr>
    </w:p>
    <w:p w:rsidR="000944EF" w:rsidRDefault="000944EF" w:rsidP="000944EF">
      <w:pPr>
        <w:pStyle w:val="Default"/>
        <w:rPr>
          <w:rFonts w:asciiTheme="minorHAnsi" w:hAnsiTheme="minorHAnsi"/>
          <w:color w:val="auto"/>
          <w:sz w:val="22"/>
          <w:szCs w:val="22"/>
        </w:rPr>
      </w:pPr>
      <w:r>
        <w:rPr>
          <w:rFonts w:asciiTheme="minorHAnsi" w:hAnsiTheme="minorHAnsi"/>
          <w:color w:val="auto"/>
          <w:sz w:val="22"/>
          <w:szCs w:val="22"/>
        </w:rPr>
        <w:t>NSP proposes c</w:t>
      </w:r>
      <w:r w:rsidRPr="000944EF">
        <w:rPr>
          <w:rFonts w:asciiTheme="minorHAnsi" w:hAnsiTheme="minorHAnsi"/>
          <w:color w:val="auto"/>
          <w:sz w:val="22"/>
          <w:szCs w:val="22"/>
        </w:rPr>
        <w:t xml:space="preserve">onducting operation studies and surveillance activities to inform decision making on HIV related issues. The following surveillance activities </w:t>
      </w:r>
      <w:r>
        <w:rPr>
          <w:rFonts w:asciiTheme="minorHAnsi" w:hAnsiTheme="minorHAnsi"/>
          <w:color w:val="auto"/>
          <w:sz w:val="22"/>
          <w:szCs w:val="22"/>
        </w:rPr>
        <w:t>and studies will be implemented:</w:t>
      </w:r>
    </w:p>
    <w:p w:rsidR="00F83AE0" w:rsidRPr="00F83AE0" w:rsidRDefault="00F83AE0" w:rsidP="00F83AE0">
      <w:pPr>
        <w:autoSpaceDE w:val="0"/>
        <w:autoSpaceDN w:val="0"/>
        <w:adjustRightInd w:val="0"/>
        <w:rPr>
          <w:rFonts w:eastAsiaTheme="minorHAnsi"/>
          <w:color w:val="000000"/>
        </w:rPr>
      </w:pPr>
    </w:p>
    <w:p w:rsidR="00CB6E83" w:rsidRDefault="00F83AE0" w:rsidP="00DC68FC">
      <w:pPr>
        <w:pStyle w:val="ListParagraph"/>
        <w:numPr>
          <w:ilvl w:val="0"/>
          <w:numId w:val="34"/>
        </w:numPr>
        <w:autoSpaceDE w:val="0"/>
        <w:autoSpaceDN w:val="0"/>
        <w:adjustRightInd w:val="0"/>
        <w:rPr>
          <w:rFonts w:asciiTheme="minorHAnsi" w:eastAsiaTheme="minorHAnsi" w:hAnsiTheme="minorHAnsi"/>
          <w:color w:val="000000"/>
          <w:sz w:val="22"/>
          <w:szCs w:val="22"/>
        </w:rPr>
      </w:pPr>
      <w:r w:rsidRPr="00DC68FC">
        <w:rPr>
          <w:rFonts w:asciiTheme="minorHAnsi" w:eastAsiaTheme="minorHAnsi" w:hAnsiTheme="minorHAnsi"/>
          <w:color w:val="000000"/>
          <w:sz w:val="22"/>
          <w:szCs w:val="22"/>
        </w:rPr>
        <w:t xml:space="preserve">Continued integrated bio-behavioral surveillance studies (IBBSS) among the key affected populations in accordance with the schedules of the national surveillance plan. IBBSS will cover all parts of the country with significant concentration of KAPs, incorporate population size estimates and will be conducted among PWID, FSW, MSM, and prisoners; </w:t>
      </w:r>
    </w:p>
    <w:p w:rsidR="00DC68FC" w:rsidRPr="00DC68FC" w:rsidRDefault="00DC68FC" w:rsidP="00DC68FC">
      <w:pPr>
        <w:pStyle w:val="ListParagraph"/>
        <w:autoSpaceDE w:val="0"/>
        <w:autoSpaceDN w:val="0"/>
        <w:adjustRightInd w:val="0"/>
        <w:rPr>
          <w:rFonts w:asciiTheme="minorHAnsi" w:eastAsiaTheme="minorHAnsi" w:hAnsiTheme="minorHAnsi"/>
          <w:color w:val="000000"/>
          <w:sz w:val="22"/>
          <w:szCs w:val="22"/>
        </w:rPr>
      </w:pPr>
    </w:p>
    <w:p w:rsidR="00CB6E83" w:rsidRPr="00DC68FC" w:rsidRDefault="00CB6E83" w:rsidP="00DC68FC">
      <w:pPr>
        <w:pStyle w:val="ListParagraph"/>
        <w:numPr>
          <w:ilvl w:val="0"/>
          <w:numId w:val="34"/>
        </w:numPr>
        <w:autoSpaceDE w:val="0"/>
        <w:autoSpaceDN w:val="0"/>
        <w:adjustRightInd w:val="0"/>
        <w:rPr>
          <w:rFonts w:asciiTheme="minorHAnsi" w:eastAsiaTheme="minorHAnsi" w:hAnsiTheme="minorHAnsi"/>
          <w:color w:val="000000"/>
          <w:sz w:val="22"/>
          <w:szCs w:val="22"/>
        </w:rPr>
      </w:pPr>
      <w:r w:rsidRPr="00DC68FC">
        <w:rPr>
          <w:rFonts w:asciiTheme="minorHAnsi" w:eastAsiaTheme="minorHAnsi" w:hAnsiTheme="minorHAnsi"/>
          <w:color w:val="000000"/>
          <w:sz w:val="22"/>
          <w:szCs w:val="22"/>
        </w:rPr>
        <w:t>HIV incidence estimation using recent infection testing algorithm (RITA)</w:t>
      </w:r>
      <w:r w:rsidR="00DC68FC">
        <w:rPr>
          <w:rFonts w:asciiTheme="minorHAnsi" w:eastAsiaTheme="minorHAnsi" w:hAnsiTheme="minorHAnsi"/>
          <w:color w:val="000000"/>
          <w:sz w:val="22"/>
          <w:szCs w:val="22"/>
        </w:rPr>
        <w:t>;</w:t>
      </w:r>
      <w:r w:rsidRPr="00DC68FC">
        <w:rPr>
          <w:rFonts w:asciiTheme="minorHAnsi" w:eastAsiaTheme="minorHAnsi" w:hAnsiTheme="minorHAnsi"/>
          <w:color w:val="000000"/>
          <w:sz w:val="22"/>
          <w:szCs w:val="22"/>
        </w:rPr>
        <w:t xml:space="preserve"> </w:t>
      </w:r>
    </w:p>
    <w:p w:rsidR="00CB6E83" w:rsidRPr="00CB6E83" w:rsidRDefault="00CB6E83" w:rsidP="00DC68FC">
      <w:pPr>
        <w:autoSpaceDE w:val="0"/>
        <w:autoSpaceDN w:val="0"/>
        <w:adjustRightInd w:val="0"/>
        <w:rPr>
          <w:rFonts w:asciiTheme="minorHAnsi" w:eastAsiaTheme="minorHAnsi" w:hAnsiTheme="minorHAnsi"/>
          <w:color w:val="000000"/>
          <w:sz w:val="22"/>
          <w:szCs w:val="22"/>
        </w:rPr>
      </w:pPr>
    </w:p>
    <w:p w:rsidR="00CB6E83" w:rsidRPr="00DC68FC" w:rsidRDefault="00CB6E83" w:rsidP="00DC68FC">
      <w:pPr>
        <w:pStyle w:val="ListParagraph"/>
        <w:numPr>
          <w:ilvl w:val="0"/>
          <w:numId w:val="34"/>
        </w:numPr>
        <w:autoSpaceDE w:val="0"/>
        <w:autoSpaceDN w:val="0"/>
        <w:adjustRightInd w:val="0"/>
        <w:rPr>
          <w:rFonts w:asciiTheme="minorHAnsi" w:eastAsiaTheme="minorHAnsi" w:hAnsiTheme="minorHAnsi"/>
          <w:color w:val="000000"/>
          <w:sz w:val="22"/>
          <w:szCs w:val="22"/>
        </w:rPr>
      </w:pPr>
      <w:r w:rsidRPr="00DC68FC">
        <w:rPr>
          <w:rFonts w:asciiTheme="minorHAnsi" w:eastAsiaTheme="minorHAnsi" w:hAnsiTheme="minorHAnsi"/>
          <w:color w:val="000000"/>
          <w:sz w:val="22"/>
          <w:szCs w:val="22"/>
        </w:rPr>
        <w:t xml:space="preserve">Evaluation of effectiveness of (BCC) interventions targeting KAPs in Georgia; </w:t>
      </w:r>
    </w:p>
    <w:p w:rsidR="00CB6E83" w:rsidRPr="00CB6E83" w:rsidRDefault="00CB6E83" w:rsidP="00DC68FC">
      <w:pPr>
        <w:autoSpaceDE w:val="0"/>
        <w:autoSpaceDN w:val="0"/>
        <w:adjustRightInd w:val="0"/>
        <w:rPr>
          <w:rFonts w:asciiTheme="minorHAnsi" w:eastAsiaTheme="minorHAnsi" w:hAnsiTheme="minorHAnsi"/>
          <w:color w:val="000000"/>
          <w:sz w:val="22"/>
          <w:szCs w:val="22"/>
        </w:rPr>
      </w:pPr>
    </w:p>
    <w:p w:rsidR="00CB6E83" w:rsidRPr="00DC68FC" w:rsidRDefault="00CB6E83" w:rsidP="00DC68FC">
      <w:pPr>
        <w:pStyle w:val="ListParagraph"/>
        <w:numPr>
          <w:ilvl w:val="0"/>
          <w:numId w:val="34"/>
        </w:numPr>
        <w:autoSpaceDE w:val="0"/>
        <w:autoSpaceDN w:val="0"/>
        <w:adjustRightInd w:val="0"/>
        <w:rPr>
          <w:rFonts w:asciiTheme="minorHAnsi" w:eastAsiaTheme="minorHAnsi" w:hAnsiTheme="minorHAnsi"/>
          <w:color w:val="000000"/>
          <w:sz w:val="22"/>
          <w:szCs w:val="22"/>
        </w:rPr>
      </w:pPr>
      <w:r w:rsidRPr="00DC68FC">
        <w:rPr>
          <w:rFonts w:asciiTheme="minorHAnsi" w:eastAsiaTheme="minorHAnsi" w:hAnsiTheme="minorHAnsi"/>
          <w:color w:val="000000"/>
          <w:sz w:val="22"/>
          <w:szCs w:val="22"/>
        </w:rPr>
        <w:t xml:space="preserve">National AIDS spending assessment and financial gap analyses to inform policy decisions; </w:t>
      </w:r>
    </w:p>
    <w:p w:rsidR="00CB6E83" w:rsidRPr="00CB6E83" w:rsidRDefault="00CB6E83" w:rsidP="00DC68FC">
      <w:pPr>
        <w:autoSpaceDE w:val="0"/>
        <w:autoSpaceDN w:val="0"/>
        <w:adjustRightInd w:val="0"/>
        <w:rPr>
          <w:rFonts w:asciiTheme="minorHAnsi" w:eastAsiaTheme="minorHAnsi" w:hAnsiTheme="minorHAnsi"/>
          <w:color w:val="000000"/>
          <w:sz w:val="22"/>
          <w:szCs w:val="22"/>
        </w:rPr>
      </w:pPr>
    </w:p>
    <w:p w:rsidR="00CB6E83" w:rsidRDefault="00CB6E83" w:rsidP="00DC68FC">
      <w:pPr>
        <w:pStyle w:val="ListParagraph"/>
        <w:numPr>
          <w:ilvl w:val="0"/>
          <w:numId w:val="34"/>
        </w:numPr>
        <w:autoSpaceDE w:val="0"/>
        <w:autoSpaceDN w:val="0"/>
        <w:adjustRightInd w:val="0"/>
        <w:rPr>
          <w:rFonts w:asciiTheme="minorHAnsi" w:eastAsiaTheme="minorHAnsi" w:hAnsiTheme="minorHAnsi"/>
          <w:color w:val="000000"/>
          <w:sz w:val="22"/>
          <w:szCs w:val="22"/>
        </w:rPr>
      </w:pPr>
      <w:r w:rsidRPr="00DC68FC">
        <w:rPr>
          <w:rFonts w:asciiTheme="minorHAnsi" w:eastAsiaTheme="minorHAnsi" w:hAnsiTheme="minorHAnsi"/>
          <w:color w:val="000000"/>
          <w:sz w:val="22"/>
          <w:szCs w:val="22"/>
        </w:rPr>
        <w:t xml:space="preserve">Study on size estimation and risk behaviors (IBBSS) among street children and other vulnerable youth; </w:t>
      </w:r>
    </w:p>
    <w:p w:rsidR="00DC68FC" w:rsidRPr="00DC68FC" w:rsidRDefault="00DC68FC" w:rsidP="00DC68FC">
      <w:pPr>
        <w:autoSpaceDE w:val="0"/>
        <w:autoSpaceDN w:val="0"/>
        <w:adjustRightInd w:val="0"/>
        <w:rPr>
          <w:rFonts w:asciiTheme="minorHAnsi" w:eastAsiaTheme="minorHAnsi" w:hAnsiTheme="minorHAnsi"/>
          <w:color w:val="000000"/>
          <w:sz w:val="22"/>
          <w:szCs w:val="22"/>
        </w:rPr>
      </w:pPr>
    </w:p>
    <w:p w:rsidR="00DC68FC" w:rsidRPr="00DC68FC" w:rsidRDefault="00DC68FC" w:rsidP="00DC68FC">
      <w:pPr>
        <w:pStyle w:val="ListParagraph"/>
        <w:numPr>
          <w:ilvl w:val="0"/>
          <w:numId w:val="34"/>
        </w:numPr>
        <w:rPr>
          <w:rFonts w:asciiTheme="minorHAnsi" w:hAnsiTheme="minorHAnsi"/>
          <w:sz w:val="22"/>
          <w:szCs w:val="22"/>
        </w:rPr>
      </w:pPr>
      <w:r w:rsidRPr="00DC68FC">
        <w:rPr>
          <w:rFonts w:asciiTheme="minorHAnsi" w:hAnsiTheme="minorHAnsi"/>
          <w:color w:val="000000"/>
          <w:sz w:val="22"/>
          <w:szCs w:val="22"/>
        </w:rPr>
        <w:t>Pre-treatment HIV drug resistance survey</w:t>
      </w:r>
      <w:r>
        <w:rPr>
          <w:rFonts w:asciiTheme="minorHAnsi" w:hAnsiTheme="minorHAnsi"/>
          <w:color w:val="000000"/>
          <w:sz w:val="22"/>
          <w:szCs w:val="22"/>
        </w:rPr>
        <w:t>;</w:t>
      </w:r>
    </w:p>
    <w:p w:rsidR="000944EF" w:rsidRPr="00DC68FC" w:rsidRDefault="000944EF" w:rsidP="00DC68FC">
      <w:pPr>
        <w:pStyle w:val="Default"/>
        <w:rPr>
          <w:rFonts w:asciiTheme="minorHAnsi" w:hAnsiTheme="minorHAnsi"/>
          <w:color w:val="auto"/>
          <w:sz w:val="22"/>
          <w:szCs w:val="22"/>
        </w:rPr>
      </w:pPr>
    </w:p>
    <w:p w:rsidR="00DC68FC" w:rsidRPr="00DC68FC" w:rsidRDefault="00DC68FC" w:rsidP="00DC68FC">
      <w:pPr>
        <w:pStyle w:val="ListParagraph"/>
        <w:numPr>
          <w:ilvl w:val="0"/>
          <w:numId w:val="34"/>
        </w:numPr>
        <w:rPr>
          <w:rFonts w:asciiTheme="minorHAnsi" w:hAnsiTheme="minorHAnsi"/>
          <w:sz w:val="22"/>
          <w:szCs w:val="22"/>
        </w:rPr>
      </w:pPr>
      <w:r w:rsidRPr="00DC68FC">
        <w:rPr>
          <w:rFonts w:asciiTheme="minorHAnsi" w:hAnsiTheme="minorHAnsi"/>
          <w:color w:val="000000"/>
          <w:sz w:val="22"/>
          <w:szCs w:val="22"/>
        </w:rPr>
        <w:t>Assessing engagement in HIV care</w:t>
      </w:r>
      <w:r>
        <w:rPr>
          <w:rFonts w:asciiTheme="minorHAnsi" w:hAnsiTheme="minorHAnsi"/>
          <w:color w:val="000000"/>
          <w:sz w:val="22"/>
          <w:szCs w:val="22"/>
        </w:rPr>
        <w:t>;</w:t>
      </w:r>
    </w:p>
    <w:p w:rsidR="00DC68FC" w:rsidRPr="00DC68FC" w:rsidRDefault="00DC68FC" w:rsidP="00DC68FC">
      <w:pPr>
        <w:pStyle w:val="ListParagraph"/>
        <w:rPr>
          <w:rFonts w:asciiTheme="minorHAnsi" w:hAnsiTheme="minorHAnsi"/>
          <w:sz w:val="22"/>
          <w:szCs w:val="22"/>
        </w:rPr>
      </w:pPr>
    </w:p>
    <w:p w:rsidR="00DC68FC" w:rsidRPr="00DC68FC" w:rsidRDefault="00DC68FC" w:rsidP="00DC68FC">
      <w:pPr>
        <w:pStyle w:val="ListParagraph"/>
        <w:rPr>
          <w:rFonts w:asciiTheme="minorHAnsi" w:hAnsiTheme="minorHAnsi"/>
          <w:sz w:val="22"/>
          <w:szCs w:val="22"/>
        </w:rPr>
      </w:pPr>
    </w:p>
    <w:p w:rsidR="00DC68FC" w:rsidRPr="00DC68FC" w:rsidRDefault="00DC68FC" w:rsidP="00DC68FC">
      <w:pPr>
        <w:pStyle w:val="ListParagraph"/>
        <w:numPr>
          <w:ilvl w:val="0"/>
          <w:numId w:val="34"/>
        </w:numPr>
        <w:rPr>
          <w:rFonts w:asciiTheme="minorHAnsi" w:hAnsiTheme="minorHAnsi"/>
          <w:sz w:val="22"/>
          <w:szCs w:val="22"/>
        </w:rPr>
      </w:pPr>
      <w:r w:rsidRPr="00DC68FC">
        <w:rPr>
          <w:rFonts w:asciiTheme="minorHAnsi" w:hAnsiTheme="minorHAnsi"/>
          <w:color w:val="000000"/>
          <w:sz w:val="22"/>
          <w:szCs w:val="22"/>
        </w:rPr>
        <w:t>Survey on health service accessibility</w:t>
      </w:r>
      <w:r>
        <w:rPr>
          <w:rFonts w:asciiTheme="minorHAnsi" w:hAnsiTheme="minorHAnsi"/>
          <w:color w:val="000000"/>
          <w:sz w:val="22"/>
          <w:szCs w:val="22"/>
        </w:rPr>
        <w:t>;</w:t>
      </w:r>
    </w:p>
    <w:p w:rsidR="00DC68FC" w:rsidRPr="00DC68FC" w:rsidRDefault="00DC68FC" w:rsidP="00DC68FC">
      <w:pPr>
        <w:pStyle w:val="ListParagraph"/>
        <w:rPr>
          <w:rFonts w:asciiTheme="minorHAnsi" w:hAnsiTheme="minorHAnsi"/>
          <w:sz w:val="22"/>
          <w:szCs w:val="22"/>
        </w:rPr>
      </w:pPr>
    </w:p>
    <w:p w:rsidR="00DC68FC" w:rsidRPr="00DC68FC" w:rsidRDefault="00DC68FC" w:rsidP="00DC68FC">
      <w:pPr>
        <w:pStyle w:val="ListParagraph"/>
        <w:numPr>
          <w:ilvl w:val="0"/>
          <w:numId w:val="34"/>
        </w:numPr>
        <w:rPr>
          <w:rFonts w:asciiTheme="minorHAnsi" w:hAnsiTheme="minorHAnsi"/>
          <w:sz w:val="22"/>
          <w:szCs w:val="22"/>
        </w:rPr>
      </w:pPr>
      <w:r>
        <w:rPr>
          <w:rFonts w:asciiTheme="minorHAnsi" w:hAnsiTheme="minorHAnsi"/>
          <w:sz w:val="22"/>
          <w:szCs w:val="22"/>
        </w:rPr>
        <w:t>Qualitative survey to look at peculiarities of MSM behavior.</w:t>
      </w:r>
    </w:p>
    <w:p w:rsidR="00DC68FC" w:rsidRDefault="00DC68FC" w:rsidP="00DC68FC">
      <w:pPr>
        <w:rPr>
          <w:rStyle w:val="apple-converted-space"/>
          <w:rFonts w:asciiTheme="minorHAnsi" w:eastAsiaTheme="majorEastAsia" w:hAnsiTheme="minorHAnsi"/>
          <w:color w:val="000000"/>
          <w:sz w:val="22"/>
          <w:szCs w:val="22"/>
        </w:rPr>
      </w:pPr>
    </w:p>
    <w:p w:rsidR="00DC68FC" w:rsidRPr="00DC68FC" w:rsidRDefault="00DC68FC" w:rsidP="00DC68FC">
      <w:pPr>
        <w:rPr>
          <w:rFonts w:asciiTheme="minorHAnsi" w:hAnsiTheme="minorHAnsi"/>
          <w:sz w:val="22"/>
          <w:szCs w:val="22"/>
        </w:rPr>
      </w:pPr>
      <w:r w:rsidRPr="00DC68FC">
        <w:rPr>
          <w:rStyle w:val="apple-converted-space"/>
          <w:rFonts w:asciiTheme="minorHAnsi" w:eastAsiaTheme="majorEastAsia" w:hAnsiTheme="minorHAnsi"/>
          <w:color w:val="000000"/>
          <w:sz w:val="22"/>
          <w:szCs w:val="22"/>
        </w:rPr>
        <w:t> </w:t>
      </w:r>
    </w:p>
    <w:p w:rsidR="009F2DB8" w:rsidRPr="000944EF" w:rsidRDefault="00DC68FC" w:rsidP="00DC68FC">
      <w:pPr>
        <w:rPr>
          <w:rFonts w:asciiTheme="minorHAnsi" w:hAnsiTheme="minorHAnsi"/>
          <w:sz w:val="22"/>
          <w:szCs w:val="22"/>
        </w:rPr>
      </w:pPr>
      <w:r w:rsidRPr="000944EF">
        <w:rPr>
          <w:rFonts w:asciiTheme="minorHAnsi" w:hAnsiTheme="minorHAnsi"/>
          <w:sz w:val="22"/>
          <w:szCs w:val="22"/>
        </w:rPr>
        <w:t xml:space="preserve"> </w:t>
      </w:r>
      <w:r w:rsidR="00F83AE0" w:rsidRPr="000944EF">
        <w:rPr>
          <w:rFonts w:asciiTheme="minorHAnsi" w:hAnsiTheme="minorHAnsi"/>
          <w:sz w:val="22"/>
          <w:szCs w:val="22"/>
        </w:rPr>
        <w:br w:type="page"/>
      </w:r>
    </w:p>
    <w:p w:rsidR="00901FF4" w:rsidRDefault="00901FF4" w:rsidP="00901FF4"/>
    <w:p w:rsidR="003E09B2" w:rsidRDefault="00F83AE0" w:rsidP="00901FF4">
      <w:pPr>
        <w:pStyle w:val="Heading1"/>
      </w:pPr>
      <w:bookmarkStart w:id="29" w:name="_Toc517018632"/>
      <w:r>
        <w:t>Annexes</w:t>
      </w:r>
      <w:bookmarkEnd w:id="29"/>
    </w:p>
    <w:p w:rsidR="00C829D5" w:rsidRPr="00C829D5" w:rsidRDefault="00C829D5" w:rsidP="00C829D5"/>
    <w:p w:rsidR="005305E4" w:rsidRPr="00C829D5" w:rsidRDefault="00F83AE0" w:rsidP="009B2404">
      <w:pPr>
        <w:pStyle w:val="Heading3"/>
      </w:pPr>
      <w:bookmarkStart w:id="30" w:name="_Toc517018633"/>
      <w:r w:rsidRPr="00C829D5">
        <w:t xml:space="preserve">Annex </w:t>
      </w:r>
      <w:fldSimple w:instr=" SEQ Annex \* ARABIC ">
        <w:r w:rsidR="00406980">
          <w:rPr>
            <w:noProof/>
          </w:rPr>
          <w:t>1</w:t>
        </w:r>
      </w:fldSimple>
      <w:r>
        <w:t xml:space="preserve"> </w:t>
      </w:r>
      <w:r w:rsidR="001D1A0E" w:rsidRPr="00C829D5">
        <w:t>Figures and Graphs</w:t>
      </w:r>
      <w:bookmarkEnd w:id="30"/>
    </w:p>
    <w:p w:rsidR="00DA0FAD" w:rsidRPr="00DA0FAD" w:rsidRDefault="00DA0FAD" w:rsidP="00DA0FAD"/>
    <w:p w:rsidR="00DA0FAD" w:rsidRDefault="00F83AE0" w:rsidP="00066411">
      <w:pPr>
        <w:pStyle w:val="Caption"/>
      </w:pPr>
      <w:bookmarkStart w:id="31" w:name="_Ref511136936"/>
      <w:r>
        <w:t xml:space="preserve"> </w:t>
      </w:r>
      <w:bookmarkStart w:id="32" w:name="_Toc517018561"/>
      <w:r>
        <w:t xml:space="preserve">Figure </w:t>
      </w:r>
      <w:r>
        <w:rPr>
          <w:noProof/>
        </w:rPr>
        <w:fldChar w:fldCharType="begin"/>
      </w:r>
      <w:r>
        <w:rPr>
          <w:noProof/>
        </w:rPr>
        <w:instrText xml:space="preserve"> SEQ Figure \* ARABIC </w:instrText>
      </w:r>
      <w:r>
        <w:rPr>
          <w:noProof/>
        </w:rPr>
        <w:fldChar w:fldCharType="separate"/>
      </w:r>
      <w:r w:rsidR="00406980">
        <w:rPr>
          <w:noProof/>
        </w:rPr>
        <w:t>1</w:t>
      </w:r>
      <w:r>
        <w:rPr>
          <w:noProof/>
        </w:rPr>
        <w:fldChar w:fldCharType="end"/>
      </w:r>
      <w:bookmarkEnd w:id="31"/>
      <w:r>
        <w:t xml:space="preserve"> Health Expenditure as % of total government expenditure (Georgia VS Europe &amp; Central Asia Regional Overage)</w:t>
      </w:r>
      <w:r>
        <w:rPr>
          <w:rStyle w:val="FootnoteReference"/>
        </w:rPr>
        <w:footnoteReference w:id="36"/>
      </w:r>
      <w:bookmarkEnd w:id="32"/>
    </w:p>
    <w:p w:rsidR="00DA0FAD" w:rsidRPr="00DA0FAD" w:rsidRDefault="00F83AE0" w:rsidP="00DA0FAD">
      <w:pPr>
        <w:pStyle w:val="ListParagraph"/>
        <w:rPr>
          <w:rFonts w:cstheme="minorHAnsi"/>
          <w:sz w:val="22"/>
          <w:szCs w:val="22"/>
        </w:rPr>
      </w:pPr>
      <w:r>
        <w:rPr>
          <w:noProof/>
        </w:rPr>
        <w:drawing>
          <wp:inline distT="0" distB="0" distL="0" distR="0">
            <wp:extent cx="4328119" cy="193717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95346" name=""/>
                    <pic:cNvPicPr/>
                  </pic:nvPicPr>
                  <pic:blipFill>
                    <a:blip r:embed="rId13"/>
                    <a:stretch>
                      <a:fillRect/>
                    </a:stretch>
                  </pic:blipFill>
                  <pic:spPr>
                    <a:xfrm>
                      <a:off x="0" y="0"/>
                      <a:ext cx="4374365" cy="1957873"/>
                    </a:xfrm>
                    <a:prstGeom prst="rect">
                      <a:avLst/>
                    </a:prstGeom>
                  </pic:spPr>
                </pic:pic>
              </a:graphicData>
            </a:graphic>
          </wp:inline>
        </w:drawing>
      </w:r>
    </w:p>
    <w:p w:rsidR="00FC1950" w:rsidRDefault="00FC1950" w:rsidP="00FC1950">
      <w:pPr>
        <w:pStyle w:val="Caption"/>
      </w:pPr>
    </w:p>
    <w:p w:rsidR="00FC1950" w:rsidRDefault="00F83AE0" w:rsidP="00FC1950">
      <w:pPr>
        <w:pStyle w:val="Caption"/>
        <w:ind w:left="426"/>
        <w:rPr>
          <w:rFonts w:cstheme="minorHAnsi"/>
          <w:sz w:val="22"/>
          <w:szCs w:val="22"/>
        </w:rPr>
      </w:pPr>
      <w:bookmarkStart w:id="33" w:name="_Toc517018562"/>
      <w:r>
        <w:t xml:space="preserve">Figure </w:t>
      </w:r>
      <w:r>
        <w:rPr>
          <w:noProof/>
        </w:rPr>
        <w:fldChar w:fldCharType="begin"/>
      </w:r>
      <w:r>
        <w:rPr>
          <w:noProof/>
        </w:rPr>
        <w:instrText xml:space="preserve"> SEQ Figure \* ARABIC </w:instrText>
      </w:r>
      <w:r>
        <w:rPr>
          <w:noProof/>
        </w:rPr>
        <w:fldChar w:fldCharType="separate"/>
      </w:r>
      <w:r w:rsidR="00406980">
        <w:rPr>
          <w:noProof/>
        </w:rPr>
        <w:t>2</w:t>
      </w:r>
      <w:r>
        <w:rPr>
          <w:noProof/>
        </w:rPr>
        <w:fldChar w:fldCharType="end"/>
      </w:r>
      <w:r>
        <w:t xml:space="preserve"> Number of new HIV </w:t>
      </w:r>
      <w:r w:rsidR="00DD7731">
        <w:t xml:space="preserve">cases </w:t>
      </w:r>
      <w:r>
        <w:t>registered annually (2008 - 2017)</w:t>
      </w:r>
      <w:r>
        <w:rPr>
          <w:rStyle w:val="FootnoteReference"/>
        </w:rPr>
        <w:footnoteReference w:id="37"/>
      </w:r>
      <w:bookmarkEnd w:id="33"/>
    </w:p>
    <w:p w:rsidR="000608BB" w:rsidRPr="00B2373A" w:rsidRDefault="00F83AE0" w:rsidP="00B2373A">
      <w:pPr>
        <w:ind w:left="709"/>
        <w:rPr>
          <w:rFonts w:cstheme="minorHAnsi"/>
          <w:sz w:val="22"/>
          <w:szCs w:val="22"/>
        </w:rPr>
      </w:pPr>
      <w:r>
        <w:rPr>
          <w:rFonts w:cstheme="minorHAnsi"/>
          <w:noProof/>
          <w:sz w:val="22"/>
          <w:szCs w:val="22"/>
        </w:rPr>
        <w:drawing>
          <wp:inline distT="0" distB="0" distL="0" distR="0">
            <wp:extent cx="4343400" cy="1957494"/>
            <wp:effectExtent l="0" t="0" r="1270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2373A" w:rsidRDefault="00B2373A" w:rsidP="00EB0A5F">
      <w:pPr>
        <w:pStyle w:val="Caption"/>
        <w:ind w:left="426"/>
      </w:pPr>
      <w:bookmarkStart w:id="34" w:name="_Ref516857695"/>
      <w:bookmarkStart w:id="35" w:name="_Ref516857687"/>
    </w:p>
    <w:p w:rsidR="00EB0A5F" w:rsidRDefault="00F83AE0" w:rsidP="00EB0A5F">
      <w:pPr>
        <w:pStyle w:val="Caption"/>
        <w:ind w:left="426"/>
        <w:rPr>
          <w:rFonts w:cstheme="minorHAnsi"/>
          <w:sz w:val="22"/>
          <w:szCs w:val="22"/>
        </w:rPr>
      </w:pPr>
      <w:bookmarkStart w:id="36" w:name="_Toc517018563"/>
      <w:r>
        <w:t xml:space="preserve">Figure </w:t>
      </w:r>
      <w:r>
        <w:rPr>
          <w:noProof/>
        </w:rPr>
        <w:fldChar w:fldCharType="begin"/>
      </w:r>
      <w:r>
        <w:rPr>
          <w:noProof/>
        </w:rPr>
        <w:instrText xml:space="preserve"> SEQ Figure \* ARABIC </w:instrText>
      </w:r>
      <w:r>
        <w:rPr>
          <w:noProof/>
        </w:rPr>
        <w:fldChar w:fldCharType="separate"/>
      </w:r>
      <w:r w:rsidR="00406980">
        <w:rPr>
          <w:noProof/>
        </w:rPr>
        <w:t>3</w:t>
      </w:r>
      <w:r>
        <w:rPr>
          <w:noProof/>
        </w:rPr>
        <w:fldChar w:fldCharType="end"/>
      </w:r>
      <w:bookmarkEnd w:id="34"/>
      <w:r>
        <w:t xml:space="preserve"> Main Rout</w:t>
      </w:r>
      <w:r w:rsidR="00DD7731">
        <w:t>e</w:t>
      </w:r>
      <w:r>
        <w:t>s of Transmission</w:t>
      </w:r>
      <w:bookmarkEnd w:id="35"/>
      <w:bookmarkEnd w:id="36"/>
    </w:p>
    <w:p w:rsidR="001D1A0E" w:rsidRPr="001D1A0E" w:rsidRDefault="00F83AE0" w:rsidP="00EB0A5F">
      <w:pPr>
        <w:ind w:left="709"/>
      </w:pPr>
      <w:r>
        <w:rPr>
          <w:rFonts w:cstheme="minorHAnsi"/>
          <w:noProof/>
          <w:sz w:val="22"/>
          <w:szCs w:val="22"/>
        </w:rPr>
        <w:drawing>
          <wp:inline distT="0" distB="0" distL="0" distR="0">
            <wp:extent cx="4340860" cy="1902542"/>
            <wp:effectExtent l="0" t="0" r="1524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2EA6" w:rsidRDefault="00132EA6" w:rsidP="00112A4B">
      <w:pPr>
        <w:pStyle w:val="Caption"/>
        <w:ind w:left="426"/>
      </w:pPr>
    </w:p>
    <w:p w:rsidR="00112A4B" w:rsidRPr="00FC49F1" w:rsidRDefault="00F83AE0" w:rsidP="00112A4B">
      <w:pPr>
        <w:pStyle w:val="Caption"/>
        <w:ind w:left="426"/>
      </w:pPr>
      <w:bookmarkStart w:id="37" w:name="_Toc517018564"/>
      <w:r>
        <w:rPr>
          <w:rFonts w:asciiTheme="minorHAnsi" w:hAnsiTheme="minorHAnsi" w:cstheme="minorHAnsi"/>
          <w:noProof/>
          <w:sz w:val="22"/>
          <w:szCs w:val="22"/>
        </w:rPr>
        <w:drawing>
          <wp:anchor distT="0" distB="0" distL="114300" distR="114300" simplePos="0" relativeHeight="251664384" behindDoc="0" locked="0" layoutInCell="1" allowOverlap="1">
            <wp:simplePos x="0" y="0"/>
            <wp:positionH relativeFrom="column">
              <wp:posOffset>464722</wp:posOffset>
            </wp:positionH>
            <wp:positionV relativeFrom="paragraph">
              <wp:posOffset>382074</wp:posOffset>
            </wp:positionV>
            <wp:extent cx="4457700" cy="1863090"/>
            <wp:effectExtent l="0" t="0" r="0" b="381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96333A">
        <w:t xml:space="preserve">Figure </w:t>
      </w:r>
      <w:r>
        <w:rPr>
          <w:noProof/>
        </w:rPr>
        <w:fldChar w:fldCharType="begin"/>
      </w:r>
      <w:r>
        <w:rPr>
          <w:noProof/>
        </w:rPr>
        <w:instrText xml:space="preserve"> SEQ Figure \* ARABIC </w:instrText>
      </w:r>
      <w:r>
        <w:rPr>
          <w:noProof/>
        </w:rPr>
        <w:fldChar w:fldCharType="separate"/>
      </w:r>
      <w:r w:rsidR="00406980">
        <w:rPr>
          <w:noProof/>
        </w:rPr>
        <w:t>4</w:t>
      </w:r>
      <w:r>
        <w:rPr>
          <w:noProof/>
        </w:rPr>
        <w:fldChar w:fldCharType="end"/>
      </w:r>
      <w:r w:rsidRPr="0096333A">
        <w:t xml:space="preserve"> HIV prevalence </w:t>
      </w:r>
      <w:r w:rsidR="00442C98">
        <w:t xml:space="preserve">among MSM </w:t>
      </w:r>
      <w:r w:rsidRPr="0096333A">
        <w:t>in 2007, 2010, 2012, 2015, Tbilisi based on non-weighted data (sample sizes 136, 271, 216 and 300 respectively)</w:t>
      </w:r>
      <w:bookmarkEnd w:id="37"/>
    </w:p>
    <w:p w:rsidR="00112A4B" w:rsidRDefault="00F83AE0" w:rsidP="00112A4B">
      <w:pPr>
        <w:pStyle w:val="Default"/>
        <w:ind w:left="720"/>
        <w:jc w:val="both"/>
        <w:rPr>
          <w:rFonts w:asciiTheme="minorHAnsi" w:hAnsiTheme="minorHAnsi" w:cstheme="minorHAnsi"/>
          <w:sz w:val="22"/>
          <w:szCs w:val="22"/>
          <w:lang w:val="en-GB"/>
        </w:rPr>
      </w:pPr>
      <w:r>
        <w:rPr>
          <w:rFonts w:asciiTheme="minorHAnsi" w:hAnsiTheme="minorHAnsi" w:cstheme="minorHAnsi"/>
          <w:sz w:val="22"/>
          <w:szCs w:val="22"/>
          <w:lang w:val="en-GB"/>
        </w:rPr>
        <w:br w:type="textWrapping" w:clear="all"/>
      </w:r>
    </w:p>
    <w:p w:rsidR="0033297E" w:rsidRDefault="0033297E" w:rsidP="0033297E"/>
    <w:p w:rsidR="0033297E" w:rsidRPr="00DD505F" w:rsidRDefault="00F83AE0" w:rsidP="0033297E">
      <w:pPr>
        <w:pStyle w:val="Caption"/>
        <w:ind w:left="426"/>
        <w:rPr>
          <w:rFonts w:cstheme="minorHAnsi"/>
        </w:rPr>
      </w:pPr>
      <w:bookmarkStart w:id="38" w:name="_Ref512009852"/>
      <w:bookmarkStart w:id="39" w:name="_Toc517018565"/>
      <w:r w:rsidRPr="002E7C0B">
        <w:t xml:space="preserve">Figure </w:t>
      </w:r>
      <w:r>
        <w:rPr>
          <w:noProof/>
        </w:rPr>
        <w:fldChar w:fldCharType="begin"/>
      </w:r>
      <w:r>
        <w:rPr>
          <w:noProof/>
        </w:rPr>
        <w:instrText xml:space="preserve"> SEQ Figure \* ARABIC </w:instrText>
      </w:r>
      <w:r>
        <w:rPr>
          <w:noProof/>
        </w:rPr>
        <w:fldChar w:fldCharType="separate"/>
      </w:r>
      <w:r w:rsidR="00406980">
        <w:rPr>
          <w:noProof/>
        </w:rPr>
        <w:t>5</w:t>
      </w:r>
      <w:r>
        <w:rPr>
          <w:noProof/>
        </w:rPr>
        <w:fldChar w:fldCharType="end"/>
      </w:r>
      <w:bookmarkEnd w:id="38"/>
      <w:r w:rsidRPr="002E7C0B">
        <w:t xml:space="preserve"> Prevalence of injecting drug use in the adult population in EECA region</w:t>
      </w:r>
      <w:bookmarkStart w:id="40" w:name="_Ref511897373"/>
      <w:r>
        <w:rPr>
          <w:rStyle w:val="FootnoteReference"/>
        </w:rPr>
        <w:footnoteReference w:id="38"/>
      </w:r>
      <w:r w:rsidR="008F2259">
        <w:t>,</w:t>
      </w:r>
      <w:r>
        <w:rPr>
          <w:rStyle w:val="FootnoteReference"/>
        </w:rPr>
        <w:footnoteReference w:id="39"/>
      </w:r>
      <w:bookmarkEnd w:id="39"/>
    </w:p>
    <w:p w:rsidR="00132EA6" w:rsidRDefault="00F83AE0" w:rsidP="0064049B">
      <w:pPr>
        <w:ind w:left="709"/>
      </w:pPr>
      <w:r>
        <w:rPr>
          <w:noProof/>
        </w:rPr>
        <w:drawing>
          <wp:inline distT="0" distB="0" distL="0" distR="0">
            <wp:extent cx="4469130" cy="1680210"/>
            <wp:effectExtent l="0" t="0" r="13970"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41" w:name="_Ref512009914"/>
    </w:p>
    <w:p w:rsidR="00132EA6" w:rsidRPr="00132EA6" w:rsidRDefault="00132EA6" w:rsidP="00132EA6"/>
    <w:p w:rsidR="0033297E" w:rsidRPr="007431C7" w:rsidRDefault="00F83AE0" w:rsidP="0033297E">
      <w:pPr>
        <w:pStyle w:val="Caption"/>
        <w:ind w:left="426"/>
      </w:pPr>
      <w:bookmarkStart w:id="42" w:name="_Toc517018566"/>
      <w:r>
        <w:t xml:space="preserve">Figure </w:t>
      </w:r>
      <w:r>
        <w:rPr>
          <w:noProof/>
        </w:rPr>
        <w:fldChar w:fldCharType="begin"/>
      </w:r>
      <w:r>
        <w:rPr>
          <w:noProof/>
        </w:rPr>
        <w:instrText xml:space="preserve"> SEQ Figure \* ARABIC </w:instrText>
      </w:r>
      <w:r>
        <w:rPr>
          <w:noProof/>
        </w:rPr>
        <w:fldChar w:fldCharType="separate"/>
      </w:r>
      <w:r w:rsidR="00406980">
        <w:rPr>
          <w:noProof/>
        </w:rPr>
        <w:t>6</w:t>
      </w:r>
      <w:r>
        <w:rPr>
          <w:noProof/>
        </w:rPr>
        <w:fldChar w:fldCharType="end"/>
      </w:r>
      <w:bookmarkEnd w:id="40"/>
      <w:bookmarkEnd w:id="41"/>
      <w:r w:rsidRPr="00E03501">
        <w:rPr>
          <w:sz w:val="22"/>
          <w:szCs w:val="22"/>
        </w:rPr>
        <w:t xml:space="preserve"> </w:t>
      </w:r>
      <w:r w:rsidRPr="00E03501">
        <w:t>PWID Population Size Estimations during 2011-2017</w:t>
      </w:r>
      <w:bookmarkEnd w:id="42"/>
    </w:p>
    <w:p w:rsidR="0033297E" w:rsidRDefault="00F83AE0" w:rsidP="0033297E">
      <w:pPr>
        <w:ind w:left="709"/>
      </w:pPr>
      <w:r>
        <w:rPr>
          <w:noProof/>
        </w:rPr>
        <w:drawing>
          <wp:inline distT="0" distB="0" distL="0" distR="0">
            <wp:extent cx="4469130" cy="1779905"/>
            <wp:effectExtent l="0" t="0" r="13970" b="1079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83891" w:rsidRDefault="00F83AE0">
      <w:pPr>
        <w:rPr>
          <w:i/>
          <w:iCs/>
          <w:color w:val="44546A" w:themeColor="text2"/>
          <w:sz w:val="18"/>
          <w:szCs w:val="18"/>
        </w:rPr>
      </w:pPr>
      <w:r>
        <w:br w:type="page"/>
      </w:r>
    </w:p>
    <w:p w:rsidR="00B71FFF" w:rsidRDefault="00B71FFF" w:rsidP="00132EA6">
      <w:pPr>
        <w:pStyle w:val="Caption"/>
      </w:pPr>
    </w:p>
    <w:p w:rsidR="00B71FFF" w:rsidRDefault="00F83AE0" w:rsidP="00B71FFF">
      <w:pPr>
        <w:pStyle w:val="Caption"/>
        <w:ind w:left="426"/>
        <w:rPr>
          <w:sz w:val="22"/>
          <w:szCs w:val="22"/>
        </w:rPr>
      </w:pPr>
      <w:bookmarkStart w:id="43" w:name="_Toc517018567"/>
      <w:r>
        <w:t xml:space="preserve">Figure </w:t>
      </w:r>
      <w:r w:rsidR="00DF23F9">
        <w:rPr>
          <w:noProof/>
        </w:rPr>
        <w:fldChar w:fldCharType="begin"/>
      </w:r>
      <w:r w:rsidR="00DF23F9">
        <w:rPr>
          <w:noProof/>
        </w:rPr>
        <w:instrText xml:space="preserve"> SEQ Figure \* ARABIC </w:instrText>
      </w:r>
      <w:r w:rsidR="00DF23F9">
        <w:rPr>
          <w:noProof/>
        </w:rPr>
        <w:fldChar w:fldCharType="separate"/>
      </w:r>
      <w:r w:rsidR="00406980">
        <w:rPr>
          <w:noProof/>
        </w:rPr>
        <w:t>7</w:t>
      </w:r>
      <w:r w:rsidR="00DF23F9">
        <w:rPr>
          <w:noProof/>
        </w:rPr>
        <w:fldChar w:fldCharType="end"/>
      </w:r>
      <w:r>
        <w:t xml:space="preserve"> Prevalence among PWID (2009-2017)</w:t>
      </w:r>
      <w:r>
        <w:rPr>
          <w:rStyle w:val="FootnoteReference"/>
        </w:rPr>
        <w:footnoteReference w:id="40"/>
      </w:r>
      <w:bookmarkEnd w:id="43"/>
    </w:p>
    <w:p w:rsidR="00B71FFF" w:rsidRPr="000E1516" w:rsidRDefault="00F83AE0" w:rsidP="00B71FFF">
      <w:pPr>
        <w:ind w:left="709"/>
        <w:rPr>
          <w:sz w:val="22"/>
          <w:szCs w:val="22"/>
        </w:rPr>
      </w:pPr>
      <w:r>
        <w:rPr>
          <w:noProof/>
          <w:sz w:val="22"/>
          <w:szCs w:val="22"/>
        </w:rPr>
        <w:drawing>
          <wp:inline distT="0" distB="0" distL="0" distR="0">
            <wp:extent cx="4526280" cy="1835150"/>
            <wp:effectExtent l="0" t="0" r="762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3297E" w:rsidRDefault="0033297E" w:rsidP="0033297E"/>
    <w:p w:rsidR="0033297E" w:rsidRDefault="0033297E" w:rsidP="0033297E"/>
    <w:p w:rsidR="0033297E" w:rsidRDefault="0033297E" w:rsidP="0033297E"/>
    <w:p w:rsidR="00E8400F" w:rsidRPr="00A81C7C" w:rsidRDefault="00F83AE0" w:rsidP="00E8400F">
      <w:pPr>
        <w:pStyle w:val="Caption"/>
        <w:ind w:left="426"/>
      </w:pPr>
      <w:bookmarkStart w:id="44" w:name="_Ref511826918"/>
      <w:bookmarkStart w:id="45" w:name="_Toc517018568"/>
      <w:r>
        <w:t xml:space="preserve">Figure </w:t>
      </w:r>
      <w:r>
        <w:rPr>
          <w:noProof/>
        </w:rPr>
        <w:fldChar w:fldCharType="begin"/>
      </w:r>
      <w:r>
        <w:rPr>
          <w:noProof/>
        </w:rPr>
        <w:instrText xml:space="preserve"> SEQ Figure \* ARABIC </w:instrText>
      </w:r>
      <w:r>
        <w:rPr>
          <w:noProof/>
        </w:rPr>
        <w:fldChar w:fldCharType="separate"/>
      </w:r>
      <w:r w:rsidR="00406980">
        <w:rPr>
          <w:noProof/>
        </w:rPr>
        <w:t>8</w:t>
      </w:r>
      <w:r>
        <w:rPr>
          <w:noProof/>
        </w:rPr>
        <w:fldChar w:fldCharType="end"/>
      </w:r>
      <w:bookmarkEnd w:id="44"/>
      <w:r>
        <w:t xml:space="preserve"> HIV </w:t>
      </w:r>
      <w:r w:rsidRPr="00073F71">
        <w:t>prevalence</w:t>
      </w:r>
      <w:r>
        <w:t xml:space="preserve"> among Female Sex Workers in Tbilisi and Batumi (2002-2017)</w:t>
      </w:r>
      <w:bookmarkEnd w:id="45"/>
    </w:p>
    <w:p w:rsidR="00E8400F" w:rsidRDefault="00F83AE0" w:rsidP="00E8400F">
      <w:pPr>
        <w:pStyle w:val="Default"/>
        <w:ind w:left="709"/>
        <w:jc w:val="both"/>
        <w:rPr>
          <w:rFonts w:asciiTheme="minorHAnsi" w:hAnsiTheme="minorHAnsi" w:cstheme="minorHAnsi"/>
          <w:sz w:val="22"/>
          <w:szCs w:val="22"/>
          <w:lang w:val="ka-GE"/>
        </w:rPr>
      </w:pPr>
      <w:r>
        <w:rPr>
          <w:rFonts w:asciiTheme="minorHAnsi" w:hAnsiTheme="minorHAnsi" w:cstheme="minorHAnsi"/>
          <w:noProof/>
          <w:sz w:val="22"/>
          <w:szCs w:val="22"/>
        </w:rPr>
        <w:drawing>
          <wp:inline distT="0" distB="0" distL="0" distR="0">
            <wp:extent cx="4613275" cy="1614055"/>
            <wp:effectExtent l="0" t="0" r="9525" b="120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3297E" w:rsidRDefault="0033297E" w:rsidP="0033297E"/>
    <w:p w:rsidR="0033297E" w:rsidRDefault="0033297E" w:rsidP="0033297E"/>
    <w:p w:rsidR="00622001" w:rsidRDefault="00622001" w:rsidP="008F634C">
      <w:pPr>
        <w:pStyle w:val="Caption"/>
        <w:ind w:left="426"/>
      </w:pPr>
    </w:p>
    <w:p w:rsidR="00622001" w:rsidRDefault="00622001" w:rsidP="008F634C">
      <w:pPr>
        <w:pStyle w:val="Caption"/>
        <w:ind w:left="426"/>
      </w:pPr>
    </w:p>
    <w:p w:rsidR="008F634C" w:rsidRPr="00F07C22" w:rsidRDefault="00F83AE0" w:rsidP="008F634C">
      <w:pPr>
        <w:pStyle w:val="Caption"/>
        <w:ind w:left="426"/>
      </w:pPr>
      <w:bookmarkStart w:id="46" w:name="_Toc517018569"/>
      <w:r>
        <w:t xml:space="preserve">Figure </w:t>
      </w:r>
      <w:r>
        <w:rPr>
          <w:noProof/>
        </w:rPr>
        <w:fldChar w:fldCharType="begin"/>
      </w:r>
      <w:r>
        <w:rPr>
          <w:noProof/>
        </w:rPr>
        <w:instrText xml:space="preserve"> SEQ Figure \* ARABIC </w:instrText>
      </w:r>
      <w:r>
        <w:rPr>
          <w:noProof/>
        </w:rPr>
        <w:fldChar w:fldCharType="separate"/>
      </w:r>
      <w:r w:rsidR="00406980">
        <w:rPr>
          <w:noProof/>
        </w:rPr>
        <w:t>9</w:t>
      </w:r>
      <w:r>
        <w:rPr>
          <w:noProof/>
        </w:rPr>
        <w:fldChar w:fldCharType="end"/>
      </w:r>
      <w:r>
        <w:t xml:space="preserve"> HIV prevalence among prisoners in 2009, 2012, 2015 (</w:t>
      </w:r>
      <w:r w:rsidRPr="000A776B">
        <w:t xml:space="preserve">sample sizes </w:t>
      </w:r>
      <w:r>
        <w:t>211, 286</w:t>
      </w:r>
      <w:r w:rsidRPr="000A776B">
        <w:t xml:space="preserve"> </w:t>
      </w:r>
      <w:r>
        <w:t>and 301,</w:t>
      </w:r>
      <w:r w:rsidRPr="000A776B">
        <w:t xml:space="preserve"> respectively</w:t>
      </w:r>
      <w:r>
        <w:t>)</w:t>
      </w:r>
      <w:bookmarkEnd w:id="46"/>
    </w:p>
    <w:p w:rsidR="008F634C" w:rsidRDefault="00F83AE0" w:rsidP="008F634C">
      <w:pPr>
        <w:ind w:left="709"/>
        <w:jc w:val="both"/>
        <w:rPr>
          <w:rFonts w:ascii="Sylfaen" w:hAnsi="Sylfaen" w:cstheme="minorHAnsi"/>
          <w:lang w:val="ka-GE"/>
        </w:rPr>
      </w:pPr>
      <w:r>
        <w:rPr>
          <w:rFonts w:ascii="Sylfaen" w:hAnsi="Sylfaen" w:cstheme="minorHAnsi"/>
          <w:noProof/>
        </w:rPr>
        <w:drawing>
          <wp:inline distT="0" distB="0" distL="0" distR="0">
            <wp:extent cx="4526280" cy="1748790"/>
            <wp:effectExtent l="0" t="0" r="7620"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3297E" w:rsidRDefault="0033297E" w:rsidP="0033297E"/>
    <w:p w:rsidR="00E83891" w:rsidRDefault="00F83AE0">
      <w:r>
        <w:br w:type="page"/>
      </w:r>
    </w:p>
    <w:p w:rsidR="00C34C1B" w:rsidRDefault="00C34C1B" w:rsidP="0033297E"/>
    <w:p w:rsidR="00B87932" w:rsidRDefault="00F83AE0" w:rsidP="00622001">
      <w:pPr>
        <w:pStyle w:val="Caption"/>
      </w:pPr>
      <w:bookmarkStart w:id="47" w:name="_Ref515385877"/>
      <w:r>
        <w:rPr>
          <w:i w:val="0"/>
          <w:iCs w:val="0"/>
          <w:color w:val="auto"/>
          <w:sz w:val="24"/>
          <w:szCs w:val="24"/>
        </w:rPr>
        <w:t xml:space="preserve">   </w:t>
      </w:r>
      <w:bookmarkStart w:id="48" w:name="_Toc517018570"/>
      <w:r>
        <w:t xml:space="preserve">Figure </w:t>
      </w:r>
      <w:r w:rsidR="00DF23F9">
        <w:rPr>
          <w:noProof/>
        </w:rPr>
        <w:fldChar w:fldCharType="begin"/>
      </w:r>
      <w:r w:rsidR="00DF23F9">
        <w:rPr>
          <w:noProof/>
        </w:rPr>
        <w:instrText xml:space="preserve"> SEQ Figure \* ARABIC </w:instrText>
      </w:r>
      <w:r w:rsidR="00DF23F9">
        <w:rPr>
          <w:noProof/>
        </w:rPr>
        <w:fldChar w:fldCharType="separate"/>
      </w:r>
      <w:r w:rsidR="00406980">
        <w:rPr>
          <w:noProof/>
        </w:rPr>
        <w:t>10</w:t>
      </w:r>
      <w:r w:rsidR="00DF23F9">
        <w:rPr>
          <w:noProof/>
        </w:rPr>
        <w:fldChar w:fldCharType="end"/>
      </w:r>
      <w:bookmarkEnd w:id="47"/>
      <w:r w:rsidRPr="00904617">
        <w:t xml:space="preserve"> Proportion of People with TB/HIV Receiving Treatment for Both Diseases</w:t>
      </w:r>
      <w:bookmarkEnd w:id="48"/>
    </w:p>
    <w:p w:rsidR="0033297E" w:rsidRDefault="0033297E" w:rsidP="0033297E"/>
    <w:p w:rsidR="00B87932" w:rsidRDefault="00F83AE0" w:rsidP="00B87932">
      <w:pPr>
        <w:ind w:left="709"/>
      </w:pPr>
      <w:r>
        <w:rPr>
          <w:noProof/>
        </w:rPr>
        <w:drawing>
          <wp:inline distT="0" distB="0" distL="0" distR="0">
            <wp:extent cx="4892040" cy="2068830"/>
            <wp:effectExtent l="0" t="0" r="10160" b="13970"/>
            <wp:docPr id="159851505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3297E" w:rsidRDefault="0033297E" w:rsidP="0033297E"/>
    <w:p w:rsidR="0033297E" w:rsidRDefault="0033297E" w:rsidP="0033297E"/>
    <w:p w:rsidR="008A36D4" w:rsidRDefault="00F83AE0" w:rsidP="008A36D4">
      <w:pPr>
        <w:pStyle w:val="Caption"/>
        <w:ind w:left="426"/>
      </w:pPr>
      <w:bookmarkStart w:id="49" w:name="_Toc517018571"/>
      <w:r>
        <w:t xml:space="preserve">Figure </w:t>
      </w:r>
      <w:r w:rsidR="00DF23F9">
        <w:rPr>
          <w:noProof/>
        </w:rPr>
        <w:fldChar w:fldCharType="begin"/>
      </w:r>
      <w:r w:rsidR="00DF23F9">
        <w:rPr>
          <w:noProof/>
        </w:rPr>
        <w:instrText xml:space="preserve"> SEQ Figure \* ARABIC </w:instrText>
      </w:r>
      <w:r w:rsidR="00DF23F9">
        <w:rPr>
          <w:noProof/>
        </w:rPr>
        <w:fldChar w:fldCharType="separate"/>
      </w:r>
      <w:r w:rsidR="00406980">
        <w:rPr>
          <w:noProof/>
        </w:rPr>
        <w:t>11</w:t>
      </w:r>
      <w:r w:rsidR="00DF23F9">
        <w:rPr>
          <w:noProof/>
        </w:rPr>
        <w:fldChar w:fldCharType="end"/>
      </w:r>
      <w:r>
        <w:t xml:space="preserve"> </w:t>
      </w:r>
      <w:r w:rsidRPr="00930178">
        <w:t>Progress towards 90-90-90 in Georgia, 2017</w:t>
      </w:r>
      <w:r>
        <w:rPr>
          <w:rStyle w:val="FootnoteReference"/>
        </w:rPr>
        <w:footnoteReference w:id="41"/>
      </w:r>
      <w:bookmarkEnd w:id="49"/>
    </w:p>
    <w:p w:rsidR="008A36D4" w:rsidRPr="00E10240" w:rsidRDefault="00F83AE0" w:rsidP="008A36D4">
      <w:pPr>
        <w:ind w:left="709"/>
      </w:pPr>
      <w:r>
        <w:rPr>
          <w:noProof/>
        </w:rPr>
        <mc:AlternateContent>
          <mc:Choice Requires="wps">
            <w:drawing>
              <wp:anchor distT="0" distB="0" distL="114300" distR="114300" simplePos="0" relativeHeight="251658240" behindDoc="0" locked="0" layoutInCell="1" allowOverlap="1">
                <wp:simplePos x="0" y="0"/>
                <wp:positionH relativeFrom="column">
                  <wp:posOffset>1800860</wp:posOffset>
                </wp:positionH>
                <wp:positionV relativeFrom="paragraph">
                  <wp:posOffset>1102995</wp:posOffset>
                </wp:positionV>
                <wp:extent cx="526010" cy="235527"/>
                <wp:effectExtent l="12700" t="12700" r="20320" b="19050"/>
                <wp:wrapNone/>
                <wp:docPr id="9" name="Pentagon 9"/>
                <wp:cNvGraphicFramePr/>
                <a:graphic xmlns:a="http://schemas.openxmlformats.org/drawingml/2006/main">
                  <a:graphicData uri="http://schemas.microsoft.com/office/word/2010/wordprocessingShape">
                    <wps:wsp>
                      <wps:cNvSpPr/>
                      <wps:spPr>
                        <a:xfrm>
                          <a:off x="0" y="0"/>
                          <a:ext cx="526010" cy="235527"/>
                        </a:xfrm>
                        <a:prstGeom prst="homePlat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F83AE0" w:rsidRPr="006F350F" w:rsidRDefault="00F83AE0" w:rsidP="008A36D4">
                            <w:pPr>
                              <w:rPr>
                                <w:b/>
                              </w:rPr>
                            </w:pPr>
                            <w:r w:rsidRPr="006F350F">
                              <w:rPr>
                                <w:b/>
                                <w:color w:val="2F5496" w:themeColor="accent1" w:themeShade="BF"/>
                                <w:sz w:val="18"/>
                                <w:szCs w:val="18"/>
                              </w:rPr>
                              <w:t>48%</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36" type="#_x0000_t15" style="position:absolute;left:0;text-align:left;margin-left:141.8pt;margin-top:86.85pt;width:41.4pt;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" adj="16764" filled="f" strokecolor="#1f3763 [1604]" strokeweight="1.5pt">
                <v:textbox>
                  <w:txbxContent>
                    <w:p w:rsidR="00F83AE0" w:rsidRPr="006F350F" w:rsidRDefault="00F83AE0" w:rsidP="008A36D4">
                      <w:pPr>
                        <w:rPr>
                          <w:b/>
                        </w:rPr>
                      </w:pPr>
                      <w:r w:rsidRPr="006F350F">
                        <w:rPr>
                          <w:b/>
                          <w:color w:val="2F5496" w:themeColor="accent1" w:themeShade="BF"/>
                          <w:sz w:val="18"/>
                          <w:szCs w:val="18"/>
                        </w:rPr>
                        <w:t>48%</w:t>
                      </w:r>
                    </w:p>
                  </w:txbxContent>
                </v:textbox>
              </v:shape>
            </w:pict>
          </mc:Fallback>
        </mc:AlternateContent>
      </w:r>
      <w:r w:rsidRPr="006F350F">
        <w:rPr>
          <w:noProof/>
          <w:color w:val="2F5496" w:themeColor="accent1" w:themeShade="BF"/>
          <w:sz w:val="18"/>
          <w:szCs w:val="18"/>
        </w:rPr>
        <w:drawing>
          <wp:inline distT="0" distB="0" distL="0" distR="0">
            <wp:extent cx="5029200" cy="2023110"/>
            <wp:effectExtent l="0" t="0" r="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3297E" w:rsidRDefault="0033297E" w:rsidP="0033297E"/>
    <w:p w:rsidR="000F4A4F" w:rsidRDefault="000F4A4F" w:rsidP="000F4A4F">
      <w:pPr>
        <w:jc w:val="both"/>
        <w:rPr>
          <w:sz w:val="22"/>
          <w:szCs w:val="22"/>
        </w:rPr>
      </w:pPr>
    </w:p>
    <w:p w:rsidR="000F4A4F" w:rsidRPr="00CB6D3D" w:rsidRDefault="00F83AE0" w:rsidP="000F4A4F">
      <w:pPr>
        <w:pStyle w:val="Caption"/>
        <w:ind w:left="426"/>
        <w:rPr>
          <w:sz w:val="22"/>
          <w:szCs w:val="22"/>
        </w:rPr>
      </w:pPr>
      <w:bookmarkStart w:id="50" w:name="_Toc517018572"/>
      <w:r>
        <w:rPr>
          <w:noProof/>
        </w:rPr>
        <w:drawing>
          <wp:anchor distT="0" distB="0" distL="114300" distR="114300" simplePos="0" relativeHeight="251683840" behindDoc="0" locked="0" layoutInCell="1" allowOverlap="1">
            <wp:simplePos x="0" y="0"/>
            <wp:positionH relativeFrom="column">
              <wp:posOffset>501445</wp:posOffset>
            </wp:positionH>
            <wp:positionV relativeFrom="paragraph">
              <wp:posOffset>258445</wp:posOffset>
            </wp:positionV>
            <wp:extent cx="5029200" cy="2183130"/>
            <wp:effectExtent l="0" t="0" r="12700" b="1397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t xml:space="preserve">Figure </w:t>
      </w:r>
      <w:r w:rsidR="00DF23F9">
        <w:rPr>
          <w:noProof/>
        </w:rPr>
        <w:fldChar w:fldCharType="begin"/>
      </w:r>
      <w:r w:rsidR="00DF23F9">
        <w:rPr>
          <w:noProof/>
        </w:rPr>
        <w:instrText xml:space="preserve"> SEQ Figure \* ARABIC </w:instrText>
      </w:r>
      <w:r w:rsidR="00DF23F9">
        <w:rPr>
          <w:noProof/>
        </w:rPr>
        <w:fldChar w:fldCharType="separate"/>
      </w:r>
      <w:r w:rsidR="00406980">
        <w:rPr>
          <w:noProof/>
        </w:rPr>
        <w:t>12</w:t>
      </w:r>
      <w:r w:rsidR="00DF23F9">
        <w:rPr>
          <w:noProof/>
        </w:rPr>
        <w:fldChar w:fldCharType="end"/>
      </w:r>
      <w:r>
        <w:t xml:space="preserve"> Coverage with preventive services (MSM population</w:t>
      </w:r>
      <w:r>
        <w:rPr>
          <w:rStyle w:val="FootnoteReference"/>
        </w:rPr>
        <w:footnoteReference w:id="42"/>
      </w:r>
      <w:r>
        <w:t>)</w:t>
      </w:r>
      <w:bookmarkEnd w:id="50"/>
    </w:p>
    <w:p w:rsidR="000F4A4F" w:rsidRDefault="00F83AE0" w:rsidP="000F4A4F">
      <w:pPr>
        <w:ind w:left="709"/>
      </w:pPr>
      <w:r>
        <w:br w:type="textWrapping" w:clear="all"/>
      </w:r>
    </w:p>
    <w:p w:rsidR="0033297E" w:rsidRDefault="0033297E" w:rsidP="0033297E"/>
    <w:p w:rsidR="00574CED" w:rsidRDefault="00F83AE0" w:rsidP="00574CED">
      <w:pPr>
        <w:pStyle w:val="Caption"/>
        <w:rPr>
          <w:rFonts w:asciiTheme="minorHAnsi" w:hAnsiTheme="minorHAnsi"/>
        </w:rPr>
      </w:pPr>
      <w:bookmarkStart w:id="51" w:name="_Ref515543142"/>
      <w:bookmarkStart w:id="52" w:name="_Toc517018573"/>
      <w:r w:rsidRPr="00574CED">
        <w:rPr>
          <w:rFonts w:asciiTheme="minorHAnsi" w:hAnsiTheme="minorHAnsi"/>
        </w:rPr>
        <w:t xml:space="preserve">Figure </w:t>
      </w:r>
      <w:r w:rsidRPr="00574CED">
        <w:rPr>
          <w:rFonts w:asciiTheme="minorHAnsi" w:hAnsiTheme="minorHAnsi"/>
        </w:rPr>
        <w:fldChar w:fldCharType="begin"/>
      </w:r>
      <w:r w:rsidRPr="00574CED">
        <w:rPr>
          <w:rFonts w:asciiTheme="minorHAnsi" w:hAnsiTheme="minorHAnsi"/>
        </w:rPr>
        <w:instrText xml:space="preserve"> SEQ Figure \* ARABIC </w:instrText>
      </w:r>
      <w:r w:rsidRPr="00574CED">
        <w:rPr>
          <w:rFonts w:asciiTheme="minorHAnsi" w:hAnsiTheme="minorHAnsi"/>
        </w:rPr>
        <w:fldChar w:fldCharType="separate"/>
      </w:r>
      <w:r w:rsidR="00406980">
        <w:rPr>
          <w:rFonts w:asciiTheme="minorHAnsi" w:hAnsiTheme="minorHAnsi"/>
          <w:noProof/>
        </w:rPr>
        <w:t>13</w:t>
      </w:r>
      <w:r w:rsidRPr="00574CED">
        <w:rPr>
          <w:rFonts w:asciiTheme="minorHAnsi" w:hAnsiTheme="minorHAnsi"/>
        </w:rPr>
        <w:fldChar w:fldCharType="end"/>
      </w:r>
      <w:bookmarkEnd w:id="51"/>
      <w:r w:rsidRPr="00574CED">
        <w:rPr>
          <w:rFonts w:asciiTheme="minorHAnsi" w:hAnsiTheme="minorHAnsi"/>
        </w:rPr>
        <w:t>: Total HIV Expenditures by source; (2011-2021)</w:t>
      </w:r>
      <w:bookmarkEnd w:id="52"/>
    </w:p>
    <w:p w:rsidR="00A95872" w:rsidRPr="00A95872" w:rsidRDefault="00F83AE0" w:rsidP="00A95872">
      <w:r>
        <w:rPr>
          <w:noProof/>
        </w:rPr>
        <w:drawing>
          <wp:inline distT="0" distB="0" distL="0" distR="0">
            <wp:extent cx="5727700" cy="2920004"/>
            <wp:effectExtent l="0" t="0" r="12700" b="1397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3297E" w:rsidRDefault="0033297E" w:rsidP="0033297E"/>
    <w:p w:rsidR="00574CED" w:rsidRDefault="00574CED" w:rsidP="0033297E"/>
    <w:p w:rsidR="00574CED" w:rsidRDefault="00F83AE0" w:rsidP="00574CED">
      <w:pPr>
        <w:pStyle w:val="Caption"/>
        <w:keepNext/>
        <w:jc w:val="both"/>
        <w:rPr>
          <w:rFonts w:asciiTheme="minorHAnsi" w:hAnsiTheme="minorHAnsi"/>
        </w:rPr>
      </w:pPr>
      <w:bookmarkStart w:id="53" w:name="_Toc517018574"/>
      <w:r w:rsidRPr="00574CED">
        <w:rPr>
          <w:rFonts w:asciiTheme="minorHAnsi" w:hAnsiTheme="minorHAnsi"/>
        </w:rPr>
        <w:t xml:space="preserve">Figure </w:t>
      </w:r>
      <w:r w:rsidRPr="00574CED">
        <w:rPr>
          <w:rFonts w:asciiTheme="minorHAnsi" w:hAnsiTheme="minorHAnsi"/>
        </w:rPr>
        <w:fldChar w:fldCharType="begin"/>
      </w:r>
      <w:r w:rsidRPr="00574CED">
        <w:rPr>
          <w:rFonts w:asciiTheme="minorHAnsi" w:hAnsiTheme="minorHAnsi"/>
        </w:rPr>
        <w:instrText xml:space="preserve"> SEQ Figure \* ARABIC </w:instrText>
      </w:r>
      <w:r w:rsidRPr="00574CED">
        <w:rPr>
          <w:rFonts w:asciiTheme="minorHAnsi" w:hAnsiTheme="minorHAnsi"/>
        </w:rPr>
        <w:fldChar w:fldCharType="separate"/>
      </w:r>
      <w:r w:rsidR="00406980">
        <w:rPr>
          <w:rFonts w:asciiTheme="minorHAnsi" w:hAnsiTheme="minorHAnsi"/>
          <w:noProof/>
        </w:rPr>
        <w:t>14</w:t>
      </w:r>
      <w:r w:rsidRPr="00574CED">
        <w:rPr>
          <w:rFonts w:asciiTheme="minorHAnsi" w:hAnsiTheme="minorHAnsi"/>
        </w:rPr>
        <w:fldChar w:fldCharType="end"/>
      </w:r>
      <w:r w:rsidRPr="00574CED">
        <w:rPr>
          <w:rFonts w:asciiTheme="minorHAnsi" w:hAnsiTheme="minorHAnsi"/>
        </w:rPr>
        <w:t>: HIV Expenditures by source for selected years</w:t>
      </w:r>
      <w:bookmarkEnd w:id="53"/>
    </w:p>
    <w:p w:rsidR="00524C2F" w:rsidRPr="00524C2F" w:rsidRDefault="00F83AE0" w:rsidP="00524C2F">
      <w:r w:rsidRPr="000C2784">
        <w:rPr>
          <w:noProof/>
        </w:rPr>
        <w:drawing>
          <wp:inline distT="0" distB="0" distL="0" distR="0">
            <wp:extent cx="5727700" cy="1616690"/>
            <wp:effectExtent l="0" t="0" r="12700" b="952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E6C5C" w:rsidRPr="006E3BA2" w:rsidRDefault="007E6C5C" w:rsidP="006E3BA2">
      <w:pPr>
        <w:spacing w:before="120" w:line="276" w:lineRule="auto"/>
        <w:jc w:val="both"/>
        <w:rPr>
          <w:sz w:val="22"/>
          <w:szCs w:val="22"/>
        </w:rPr>
      </w:pPr>
    </w:p>
    <w:p w:rsidR="00574CED" w:rsidRDefault="00F83AE0" w:rsidP="007E6C5C">
      <w:pPr>
        <w:pStyle w:val="Caption"/>
      </w:pPr>
      <w:bookmarkStart w:id="54" w:name="_Ref515543406"/>
      <w:bookmarkStart w:id="55" w:name="_Toc517018575"/>
      <w:r>
        <w:t xml:space="preserve">Figure </w:t>
      </w:r>
      <w:r w:rsidR="00DF23F9">
        <w:rPr>
          <w:noProof/>
        </w:rPr>
        <w:fldChar w:fldCharType="begin"/>
      </w:r>
      <w:r w:rsidR="00DF23F9">
        <w:rPr>
          <w:noProof/>
        </w:rPr>
        <w:instrText xml:space="preserve"> SEQ Figure \* ARABIC </w:instrText>
      </w:r>
      <w:r w:rsidR="00DF23F9">
        <w:rPr>
          <w:noProof/>
        </w:rPr>
        <w:fldChar w:fldCharType="separate"/>
      </w:r>
      <w:r w:rsidR="00406980">
        <w:rPr>
          <w:noProof/>
        </w:rPr>
        <w:t>15</w:t>
      </w:r>
      <w:r w:rsidR="00DF23F9">
        <w:rPr>
          <w:noProof/>
        </w:rPr>
        <w:fldChar w:fldCharType="end"/>
      </w:r>
      <w:bookmarkEnd w:id="54"/>
      <w:r>
        <w:t xml:space="preserve"> Funding </w:t>
      </w:r>
      <w:r w:rsidR="00E05D5E">
        <w:t xml:space="preserve">by </w:t>
      </w:r>
      <w:r>
        <w:t>Priorit</w:t>
      </w:r>
      <w:r w:rsidR="001756D9">
        <w:t>y area</w:t>
      </w:r>
      <w:bookmarkEnd w:id="55"/>
    </w:p>
    <w:p w:rsidR="00CA041D" w:rsidRDefault="00F83AE0" w:rsidP="007E6C5C">
      <w:pPr>
        <w:spacing w:before="120" w:line="276" w:lineRule="auto"/>
        <w:jc w:val="both"/>
        <w:rPr>
          <w:sz w:val="22"/>
          <w:szCs w:val="22"/>
        </w:rPr>
      </w:pPr>
      <w:r>
        <w:rPr>
          <w:noProof/>
        </w:rPr>
        <w:drawing>
          <wp:inline distT="0" distB="0" distL="0" distR="0">
            <wp:extent cx="5390535" cy="2743200"/>
            <wp:effectExtent l="0" t="0" r="6985" b="1270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A041D" w:rsidRPr="00BC7854" w:rsidRDefault="00CA041D" w:rsidP="007E6C5C">
      <w:pPr>
        <w:spacing w:before="120" w:line="276" w:lineRule="auto"/>
        <w:jc w:val="both"/>
        <w:rPr>
          <w:sz w:val="22"/>
          <w:szCs w:val="22"/>
        </w:rPr>
      </w:pPr>
    </w:p>
    <w:p w:rsidR="00B52927" w:rsidRDefault="00B52927" w:rsidP="0033297E">
      <w:pPr>
        <w:sectPr w:rsidR="00B52927" w:rsidSect="00B52927">
          <w:headerReference w:type="even" r:id="rId28"/>
          <w:headerReference w:type="default" r:id="rId29"/>
          <w:footerReference w:type="default" r:id="rId30"/>
          <w:headerReference w:type="first" r:id="rId31"/>
          <w:pgSz w:w="11900" w:h="16840"/>
          <w:pgMar w:top="1440" w:right="1440" w:bottom="1089" w:left="1440" w:header="708" w:footer="708" w:gutter="0"/>
          <w:cols w:space="708"/>
          <w:docGrid w:linePitch="360"/>
        </w:sectPr>
      </w:pPr>
    </w:p>
    <w:p w:rsidR="007E6C5C" w:rsidRPr="00721A7C" w:rsidRDefault="00F83AE0" w:rsidP="009B2404">
      <w:pPr>
        <w:pStyle w:val="Heading3"/>
      </w:pPr>
      <w:bookmarkStart w:id="56" w:name="_Toc517018634"/>
      <w:r w:rsidRPr="00721A7C">
        <w:lastRenderedPageBreak/>
        <w:t xml:space="preserve">Annex </w:t>
      </w:r>
      <w:fldSimple w:instr=" SEQ Annex \* ARABIC ">
        <w:r w:rsidR="00406980">
          <w:rPr>
            <w:noProof/>
          </w:rPr>
          <w:t>2</w:t>
        </w:r>
      </w:fldSimple>
      <w:r w:rsidRPr="00721A7C">
        <w:t xml:space="preserve"> Detailed budget</w:t>
      </w:r>
      <w:r>
        <w:t xml:space="preserve"> (USD)</w:t>
      </w:r>
      <w:bookmarkEnd w:id="56"/>
    </w:p>
    <w:p w:rsidR="00E844F0" w:rsidRDefault="00E844F0" w:rsidP="004F5D99">
      <w:pPr>
        <w:pStyle w:val="Heading3"/>
      </w:pPr>
    </w:p>
    <w:p w:rsidR="00125A33" w:rsidRPr="006B5FAD" w:rsidRDefault="00125A33" w:rsidP="00125A33">
      <w:pPr>
        <w:rPr>
          <w:rFonts w:cs="Menlo Regular"/>
          <w:b/>
        </w:rPr>
      </w:pPr>
    </w:p>
    <w:tbl>
      <w:tblPr>
        <w:tblW w:w="13887" w:type="dxa"/>
        <w:tblLook w:val="04A0" w:firstRow="1" w:lastRow="0" w:firstColumn="1" w:lastColumn="0" w:noHBand="0" w:noVBand="1"/>
      </w:tblPr>
      <w:tblGrid>
        <w:gridCol w:w="908"/>
        <w:gridCol w:w="6175"/>
        <w:gridCol w:w="1559"/>
        <w:gridCol w:w="1418"/>
        <w:gridCol w:w="1417"/>
        <w:gridCol w:w="1276"/>
        <w:gridCol w:w="1134"/>
      </w:tblGrid>
      <w:tr w:rsidR="00125A33" w:rsidRPr="00DB5495" w:rsidTr="00FF2733">
        <w:trPr>
          <w:trHeight w:val="260"/>
          <w:tblHeader/>
        </w:trPr>
        <w:tc>
          <w:tcPr>
            <w:tcW w:w="908" w:type="dxa"/>
            <w:tcBorders>
              <w:top w:val="single" w:sz="4" w:space="0" w:color="5B9BD5"/>
              <w:left w:val="single" w:sz="4" w:space="0" w:color="5B9BD5"/>
              <w:bottom w:val="nil"/>
              <w:right w:val="nil"/>
            </w:tcBorders>
            <w:shd w:val="clear" w:color="5B9BD5" w:fill="5B9BD5"/>
            <w:noWrap/>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w:t>
            </w:r>
          </w:p>
        </w:tc>
        <w:tc>
          <w:tcPr>
            <w:tcW w:w="6175" w:type="dxa"/>
            <w:tcBorders>
              <w:top w:val="single" w:sz="4" w:space="0" w:color="5B9BD5"/>
              <w:left w:val="nil"/>
              <w:bottom w:val="nil"/>
              <w:right w:val="nil"/>
            </w:tcBorders>
            <w:shd w:val="clear" w:color="5B9BD5" w:fill="5B9BD5"/>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Strategic Priority/ Activity area</w:t>
            </w:r>
          </w:p>
        </w:tc>
        <w:tc>
          <w:tcPr>
            <w:tcW w:w="1559" w:type="dxa"/>
            <w:tcBorders>
              <w:top w:val="single" w:sz="4" w:space="0" w:color="5B9BD5"/>
              <w:left w:val="nil"/>
              <w:bottom w:val="nil"/>
              <w:right w:val="nil"/>
            </w:tcBorders>
            <w:shd w:val="clear" w:color="5B9BD5" w:fill="5B9BD5"/>
            <w:noWrap/>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2019</w:t>
            </w:r>
          </w:p>
        </w:tc>
        <w:tc>
          <w:tcPr>
            <w:tcW w:w="1418" w:type="dxa"/>
            <w:tcBorders>
              <w:top w:val="single" w:sz="4" w:space="0" w:color="5B9BD5"/>
              <w:left w:val="nil"/>
              <w:bottom w:val="nil"/>
              <w:right w:val="nil"/>
            </w:tcBorders>
            <w:shd w:val="clear" w:color="5B9BD5" w:fill="5B9BD5"/>
            <w:noWrap/>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2020</w:t>
            </w:r>
          </w:p>
        </w:tc>
        <w:tc>
          <w:tcPr>
            <w:tcW w:w="1417" w:type="dxa"/>
            <w:tcBorders>
              <w:top w:val="single" w:sz="4" w:space="0" w:color="5B9BD5"/>
              <w:left w:val="nil"/>
              <w:bottom w:val="nil"/>
              <w:right w:val="nil"/>
            </w:tcBorders>
            <w:shd w:val="clear" w:color="5B9BD5" w:fill="5B9BD5"/>
            <w:noWrap/>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2021</w:t>
            </w:r>
          </w:p>
        </w:tc>
        <w:tc>
          <w:tcPr>
            <w:tcW w:w="1276" w:type="dxa"/>
            <w:tcBorders>
              <w:top w:val="single" w:sz="4" w:space="0" w:color="5B9BD5"/>
              <w:left w:val="nil"/>
              <w:bottom w:val="nil"/>
              <w:right w:val="nil"/>
            </w:tcBorders>
            <w:shd w:val="clear" w:color="5B9BD5" w:fill="5B9BD5"/>
            <w:noWrap/>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2022</w:t>
            </w:r>
          </w:p>
        </w:tc>
        <w:tc>
          <w:tcPr>
            <w:tcW w:w="1134" w:type="dxa"/>
            <w:tcBorders>
              <w:top w:val="single" w:sz="4" w:space="0" w:color="5B9BD5"/>
              <w:left w:val="nil"/>
              <w:bottom w:val="nil"/>
              <w:right w:val="single" w:sz="4" w:space="0" w:color="5B9BD5"/>
            </w:tcBorders>
            <w:shd w:val="clear" w:color="5B9BD5" w:fill="5B9BD5"/>
            <w:noWrap/>
            <w:vAlign w:val="bottom"/>
            <w:hideMark/>
          </w:tcPr>
          <w:p w:rsidR="00125A33" w:rsidRPr="00DB5495" w:rsidRDefault="00125A33" w:rsidP="00FF2733">
            <w:pPr>
              <w:jc w:val="center"/>
              <w:rPr>
                <w:rFonts w:ascii="Calibri" w:hAnsi="Calibri" w:cs="Calibri"/>
                <w:b/>
                <w:bCs/>
                <w:color w:val="FFFFFF"/>
                <w:sz w:val="18"/>
                <w:szCs w:val="18"/>
              </w:rPr>
            </w:pPr>
            <w:r w:rsidRPr="00DB5495">
              <w:rPr>
                <w:rFonts w:ascii="Calibri" w:hAnsi="Calibri" w:cs="Calibri"/>
                <w:b/>
                <w:bCs/>
                <w:color w:val="FFFFFF"/>
                <w:sz w:val="18"/>
                <w:szCs w:val="18"/>
              </w:rPr>
              <w:t>Total</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1</w:t>
            </w:r>
          </w:p>
        </w:tc>
        <w:tc>
          <w:tcPr>
            <w:tcW w:w="6175" w:type="dxa"/>
            <w:tcBorders>
              <w:top w:val="single" w:sz="4" w:space="0" w:color="5B9BD5"/>
              <w:left w:val="single" w:sz="4" w:space="0" w:color="5B9BD5"/>
              <w:bottom w:val="nil"/>
              <w:right w:val="nil"/>
            </w:tcBorders>
            <w:shd w:val="clear" w:color="000000" w:fill="9BC2E6"/>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[HIV Prevention and Detection]</w:t>
            </w:r>
          </w:p>
        </w:tc>
        <w:tc>
          <w:tcPr>
            <w:tcW w:w="1559"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8,307,251 </w:t>
            </w:r>
          </w:p>
        </w:tc>
        <w:tc>
          <w:tcPr>
            <w:tcW w:w="1418"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9,242,220 </w:t>
            </w:r>
          </w:p>
        </w:tc>
        <w:tc>
          <w:tcPr>
            <w:tcW w:w="1417"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9,513,803 </w:t>
            </w:r>
          </w:p>
        </w:tc>
        <w:tc>
          <w:tcPr>
            <w:tcW w:w="1276"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9,565,925 </w:t>
            </w:r>
          </w:p>
        </w:tc>
        <w:tc>
          <w:tcPr>
            <w:tcW w:w="1134" w:type="dxa"/>
            <w:tcBorders>
              <w:top w:val="single" w:sz="4" w:space="0" w:color="5B9BD5"/>
              <w:left w:val="single" w:sz="4" w:space="0" w:color="5B9BD5"/>
              <w:bottom w:val="nil"/>
              <w:right w:val="single" w:sz="4" w:space="0" w:color="5B9BD5"/>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36,629,199 </w:t>
            </w:r>
          </w:p>
        </w:tc>
      </w:tr>
      <w:tr w:rsidR="00125A33" w:rsidRPr="00DB5495" w:rsidTr="00FF2733">
        <w:trPr>
          <w:trHeight w:val="500"/>
        </w:trPr>
        <w:tc>
          <w:tcPr>
            <w:tcW w:w="908" w:type="dxa"/>
            <w:tcBorders>
              <w:top w:val="single" w:sz="4" w:space="0" w:color="5B9BD5"/>
              <w:left w:val="single" w:sz="4" w:space="0" w:color="5B9BD5"/>
              <w:bottom w:val="nil"/>
              <w:right w:val="nil"/>
            </w:tcBorders>
            <w:shd w:val="clear" w:color="000000" w:fill="DDEBF7"/>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1.1</w:t>
            </w:r>
          </w:p>
        </w:tc>
        <w:tc>
          <w:tcPr>
            <w:tcW w:w="6175"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Prevent HIV transmission, detect HIV, and ensure timely progression to care and treatment among the key affected populations</w:t>
            </w:r>
          </w:p>
        </w:tc>
        <w:tc>
          <w:tcPr>
            <w:tcW w:w="1559"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6,754,726 </w:t>
            </w:r>
          </w:p>
        </w:tc>
        <w:tc>
          <w:tcPr>
            <w:tcW w:w="1418"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7,460,262 </w:t>
            </w:r>
          </w:p>
        </w:tc>
        <w:tc>
          <w:tcPr>
            <w:tcW w:w="1417"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7,677,799 </w:t>
            </w:r>
          </w:p>
        </w:tc>
        <w:tc>
          <w:tcPr>
            <w:tcW w:w="1276"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7,728,099 </w:t>
            </w:r>
          </w:p>
        </w:tc>
        <w:tc>
          <w:tcPr>
            <w:tcW w:w="1134" w:type="dxa"/>
            <w:tcBorders>
              <w:top w:val="single" w:sz="4" w:space="0" w:color="5B9BD5"/>
              <w:left w:val="single" w:sz="4" w:space="0" w:color="5B9BD5"/>
              <w:bottom w:val="nil"/>
              <w:right w:val="single" w:sz="4" w:space="0" w:color="5B9BD5"/>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29,620,886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1.1.1</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Prevention and detection of HIV among PWID</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1,833,192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1,879,975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1,926,881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1,973,917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7,613,964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1.1.2</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Opioid Substitution Treatment (OST) and other forms of treatment and rehabilitation</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3,970,400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4,442,400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4,482,400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4,482,400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17,377,600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1.1.3</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Prevention and detection of HIV among MSM</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415,357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439,892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466,881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496,570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1,818,700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1.1.4</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HIV Prevention and detection among FSW</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335,335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368,868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405,755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446,331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1,556,289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1.1.5</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HIV Prevention and Detection among Prisoners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89,864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89,864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89,864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89,864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359,456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1.1.6</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Hepatitis B Prevention and vaccination among KAPs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18,000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18,000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18,000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18,000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72,000 </w:t>
            </w:r>
          </w:p>
        </w:tc>
      </w:tr>
      <w:tr w:rsidR="00125A33" w:rsidRPr="00DB5495" w:rsidTr="00FF2733">
        <w:trPr>
          <w:trHeight w:val="285"/>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1.1.7</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Special Programs for adolescents and young people who inject drugs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36,000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1.1.8</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PrEP</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92,579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153,174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219,928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152,928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618,609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1.1.9</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Mental health services for all KAPs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36,000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1.1.10</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Improve access to SRH services for all KAPs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30,000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30,000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30,000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90,000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1.1.11</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Introduction and expansion of HIVST among KAPs and other vulnerable groups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14,090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14,090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14,090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42,269 </w:t>
            </w:r>
          </w:p>
        </w:tc>
      </w:tr>
      <w:tr w:rsidR="00125A33" w:rsidRPr="00DB5495" w:rsidTr="00FF2733">
        <w:trPr>
          <w:trHeight w:val="480"/>
        </w:trPr>
        <w:tc>
          <w:tcPr>
            <w:tcW w:w="908" w:type="dxa"/>
            <w:tcBorders>
              <w:top w:val="single" w:sz="4" w:space="0" w:color="5B9BD5"/>
              <w:left w:val="single" w:sz="4" w:space="0" w:color="5B9BD5"/>
              <w:bottom w:val="nil"/>
              <w:right w:val="nil"/>
            </w:tcBorders>
            <w:shd w:val="clear" w:color="000000" w:fill="DDEBF7"/>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1.2</w:t>
            </w:r>
          </w:p>
        </w:tc>
        <w:tc>
          <w:tcPr>
            <w:tcW w:w="6175"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Prevention and detection of HIV in healthcare settings</w:t>
            </w:r>
          </w:p>
        </w:tc>
        <w:tc>
          <w:tcPr>
            <w:tcW w:w="1559"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1,552,525 </w:t>
            </w:r>
          </w:p>
        </w:tc>
        <w:tc>
          <w:tcPr>
            <w:tcW w:w="1418"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1,781,958 </w:t>
            </w:r>
          </w:p>
        </w:tc>
        <w:tc>
          <w:tcPr>
            <w:tcW w:w="1417"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1,836,004 </w:t>
            </w:r>
          </w:p>
        </w:tc>
        <w:tc>
          <w:tcPr>
            <w:tcW w:w="1276"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1,837,826 </w:t>
            </w:r>
          </w:p>
        </w:tc>
        <w:tc>
          <w:tcPr>
            <w:tcW w:w="1134" w:type="dxa"/>
            <w:tcBorders>
              <w:top w:val="single" w:sz="4" w:space="0" w:color="5B9BD5"/>
              <w:left w:val="single" w:sz="4" w:space="0" w:color="5B9BD5"/>
              <w:bottom w:val="nil"/>
              <w:right w:val="single" w:sz="4" w:space="0" w:color="5B9BD5"/>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7,008,313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1.2.1</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Enhancing Provider Initiated Testing (PIT) for HIV</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471,581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552,566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566,164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567,314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2,157,625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1.2.2</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Provider initiated testing at primary care setting</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297,600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417,600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417,600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417,600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1,550,400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1.2.3</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Provider initiated HIV testing in hospitalized persons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lastRenderedPageBreak/>
              <w:t>1.2.4</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Ensuring safety of donor blood</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630,000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658,000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698,000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698,000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2,684,000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1.2.5</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Post-exposure prophylaxis of HIV infection (PEP)</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1,344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1,792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2,240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2,912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8,288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1.2.6</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Prevention of Mother to Child Transmission of HIV (PMTCT)</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152,000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152,000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152,000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152,000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608,000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2</w:t>
            </w:r>
          </w:p>
        </w:tc>
        <w:tc>
          <w:tcPr>
            <w:tcW w:w="6175"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[HIV Care and Treatment]</w:t>
            </w:r>
          </w:p>
        </w:tc>
        <w:tc>
          <w:tcPr>
            <w:tcW w:w="1559"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13,609,890 </w:t>
            </w:r>
          </w:p>
        </w:tc>
        <w:tc>
          <w:tcPr>
            <w:tcW w:w="1418"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14,769,192 </w:t>
            </w:r>
          </w:p>
        </w:tc>
        <w:tc>
          <w:tcPr>
            <w:tcW w:w="1417"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15,937,853 </w:t>
            </w:r>
          </w:p>
        </w:tc>
        <w:tc>
          <w:tcPr>
            <w:tcW w:w="1276"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17,148,211 </w:t>
            </w:r>
          </w:p>
        </w:tc>
        <w:tc>
          <w:tcPr>
            <w:tcW w:w="1134" w:type="dxa"/>
            <w:tcBorders>
              <w:top w:val="single" w:sz="4" w:space="0" w:color="5B9BD5"/>
              <w:left w:val="single" w:sz="4" w:space="0" w:color="5B9BD5"/>
              <w:bottom w:val="nil"/>
              <w:right w:val="single" w:sz="4" w:space="0" w:color="5B9BD5"/>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61,465,147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000000" w:fill="DDEBF7"/>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2.1</w:t>
            </w:r>
          </w:p>
        </w:tc>
        <w:tc>
          <w:tcPr>
            <w:tcW w:w="6175" w:type="dxa"/>
            <w:tcBorders>
              <w:top w:val="single" w:sz="4" w:space="0" w:color="5B9BD5"/>
              <w:left w:val="single" w:sz="4" w:space="0" w:color="5B9BD5"/>
              <w:bottom w:val="nil"/>
              <w:right w:val="nil"/>
            </w:tcBorders>
            <w:shd w:val="clear" w:color="000000" w:fill="DDEBF7"/>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Ensure uninterrupted delivery of high quality treatment and care</w:t>
            </w:r>
          </w:p>
        </w:tc>
        <w:tc>
          <w:tcPr>
            <w:tcW w:w="1559"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5,230,806 </w:t>
            </w:r>
          </w:p>
        </w:tc>
        <w:tc>
          <w:tcPr>
            <w:tcW w:w="1418"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6,390,108 </w:t>
            </w:r>
          </w:p>
        </w:tc>
        <w:tc>
          <w:tcPr>
            <w:tcW w:w="1417"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7,558,981 </w:t>
            </w:r>
          </w:p>
        </w:tc>
        <w:tc>
          <w:tcPr>
            <w:tcW w:w="1276"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8,769,139 </w:t>
            </w:r>
          </w:p>
        </w:tc>
        <w:tc>
          <w:tcPr>
            <w:tcW w:w="1134" w:type="dxa"/>
            <w:tcBorders>
              <w:top w:val="single" w:sz="4" w:space="0" w:color="5B9BD5"/>
              <w:left w:val="single" w:sz="4" w:space="0" w:color="5B9BD5"/>
              <w:bottom w:val="nil"/>
              <w:right w:val="single" w:sz="4" w:space="0" w:color="5B9BD5"/>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27,949,035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2.1.1</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Delivery of essential clinical care services to all people living with HIV (PLHIV)</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4,826,766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5,998,068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7,166,941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8,377,099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26,368,875 </w:t>
            </w:r>
          </w:p>
        </w:tc>
      </w:tr>
      <w:tr w:rsidR="00125A33" w:rsidRPr="00DB5495" w:rsidTr="00FF2733">
        <w:trPr>
          <w:trHeight w:val="50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2.1.2</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Provision of ART to all PLHIV in need in accordance with existing guidelines, including in the region of Abkhazia</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66,392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66,392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66,392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66,392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265,568 </w:t>
            </w:r>
          </w:p>
        </w:tc>
      </w:tr>
      <w:tr w:rsidR="00125A33" w:rsidRPr="00DB5495" w:rsidTr="00FF2733">
        <w:trPr>
          <w:trHeight w:val="285"/>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2.1.3</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Effective programme administration and quality of service delivery</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337,648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325,648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325,648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325,648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1,314,592 </w:t>
            </w:r>
          </w:p>
        </w:tc>
      </w:tr>
      <w:tr w:rsidR="00125A33" w:rsidRPr="00DB5495" w:rsidTr="00FF2733">
        <w:trPr>
          <w:trHeight w:val="480"/>
        </w:trPr>
        <w:tc>
          <w:tcPr>
            <w:tcW w:w="908" w:type="dxa"/>
            <w:tcBorders>
              <w:top w:val="single" w:sz="4" w:space="0" w:color="5B9BD5"/>
              <w:left w:val="single" w:sz="4" w:space="0" w:color="5B9BD5"/>
              <w:bottom w:val="nil"/>
              <w:right w:val="nil"/>
            </w:tcBorders>
            <w:shd w:val="clear" w:color="000000" w:fill="DDEBF7"/>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2.2</w:t>
            </w:r>
          </w:p>
        </w:tc>
        <w:tc>
          <w:tcPr>
            <w:tcW w:w="6175"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Reduce morbidity and mortality due to TB and HCV co-infections and injecting drug use</w:t>
            </w:r>
          </w:p>
        </w:tc>
        <w:tc>
          <w:tcPr>
            <w:tcW w:w="1559"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8,148,000 </w:t>
            </w:r>
          </w:p>
        </w:tc>
        <w:tc>
          <w:tcPr>
            <w:tcW w:w="1418"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8,148,000 </w:t>
            </w:r>
          </w:p>
        </w:tc>
        <w:tc>
          <w:tcPr>
            <w:tcW w:w="1417"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8,148,000 </w:t>
            </w:r>
          </w:p>
        </w:tc>
        <w:tc>
          <w:tcPr>
            <w:tcW w:w="1276"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8,148,000 </w:t>
            </w:r>
          </w:p>
        </w:tc>
        <w:tc>
          <w:tcPr>
            <w:tcW w:w="1134" w:type="dxa"/>
            <w:tcBorders>
              <w:top w:val="single" w:sz="4" w:space="0" w:color="5B9BD5"/>
              <w:left w:val="single" w:sz="4" w:space="0" w:color="5B9BD5"/>
              <w:bottom w:val="nil"/>
              <w:right w:val="single" w:sz="4" w:space="0" w:color="5B9BD5"/>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32,592,000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2.2.1</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Intensify HIV/TB collaborative activities (funded from the TB program)</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2.2.2</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Provide treatment and care for viral hepatitis  (funded from the HVC program)</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8,148,000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8,148,000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8,148,000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8,148,000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32,592,000 </w:t>
            </w:r>
          </w:p>
        </w:tc>
      </w:tr>
      <w:tr w:rsidR="00125A33" w:rsidRPr="00DB5495" w:rsidTr="00FF2733">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2.3</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Ensure provision of care and support services for PLHIV</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231,084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231,084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230,872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231,072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924,112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2.3.1</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Ensure operation of peer-support services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148,612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148,612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148,400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148,600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594,224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2.3.2</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Provide palliative care for chronically ill patients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57,832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57,832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57,832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57,832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231,328 </w:t>
            </w:r>
          </w:p>
        </w:tc>
      </w:tr>
      <w:tr w:rsidR="00125A33" w:rsidRPr="00DB5495" w:rsidTr="00FF2733">
        <w:trPr>
          <w:trHeight w:val="50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2.3.3</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Support effective linkage of PLHIV to HIV and other medical care, as well as supportive services (case-manager)</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24,640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24,640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24,640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24,640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98,560 </w:t>
            </w:r>
          </w:p>
        </w:tc>
      </w:tr>
      <w:tr w:rsidR="00125A33" w:rsidRPr="00DB5495" w:rsidTr="00FF2733">
        <w:trPr>
          <w:trHeight w:val="480"/>
        </w:trPr>
        <w:tc>
          <w:tcPr>
            <w:tcW w:w="908"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3</w:t>
            </w:r>
          </w:p>
        </w:tc>
        <w:tc>
          <w:tcPr>
            <w:tcW w:w="6175" w:type="dxa"/>
            <w:tcBorders>
              <w:top w:val="single" w:sz="4" w:space="0" w:color="5B9BD5"/>
              <w:left w:val="single" w:sz="4" w:space="0" w:color="5B9BD5"/>
              <w:bottom w:val="nil"/>
              <w:right w:val="nil"/>
            </w:tcBorders>
            <w:shd w:val="clear" w:color="000000" w:fill="9BC2E6"/>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[Leadership and policy development and transition-related activities]</w:t>
            </w:r>
          </w:p>
        </w:tc>
        <w:tc>
          <w:tcPr>
            <w:tcW w:w="1559"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437,833 </w:t>
            </w:r>
          </w:p>
        </w:tc>
        <w:tc>
          <w:tcPr>
            <w:tcW w:w="1418"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279,638 </w:t>
            </w:r>
          </w:p>
        </w:tc>
        <w:tc>
          <w:tcPr>
            <w:tcW w:w="1417"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371,628 </w:t>
            </w:r>
          </w:p>
        </w:tc>
        <w:tc>
          <w:tcPr>
            <w:tcW w:w="1276"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409,428 </w:t>
            </w:r>
          </w:p>
        </w:tc>
        <w:tc>
          <w:tcPr>
            <w:tcW w:w="1134" w:type="dxa"/>
            <w:tcBorders>
              <w:top w:val="single" w:sz="4" w:space="0" w:color="5B9BD5"/>
              <w:left w:val="single" w:sz="4" w:space="0" w:color="5B9BD5"/>
              <w:bottom w:val="nil"/>
              <w:right w:val="single" w:sz="4" w:space="0" w:color="5B9BD5"/>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1,498,527 </w:t>
            </w:r>
          </w:p>
        </w:tc>
      </w:tr>
      <w:tr w:rsidR="00125A33" w:rsidRPr="00DB5495" w:rsidTr="00FF2733">
        <w:trPr>
          <w:trHeight w:val="720"/>
        </w:trPr>
        <w:tc>
          <w:tcPr>
            <w:tcW w:w="908" w:type="dxa"/>
            <w:tcBorders>
              <w:top w:val="single" w:sz="4" w:space="0" w:color="5B9BD5"/>
              <w:left w:val="single" w:sz="4" w:space="0" w:color="5B9BD5"/>
              <w:bottom w:val="nil"/>
              <w:right w:val="nil"/>
            </w:tcBorders>
            <w:shd w:val="clear" w:color="000000" w:fill="DDEBF7"/>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3.1</w:t>
            </w:r>
          </w:p>
        </w:tc>
        <w:tc>
          <w:tcPr>
            <w:tcW w:w="6175"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Ensure adequacy of state budget allocations for HIV prevention and treatment to sustain and scale-up the national response</w:t>
            </w:r>
          </w:p>
        </w:tc>
        <w:tc>
          <w:tcPr>
            <w:tcW w:w="1559"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88,600 </w:t>
            </w:r>
          </w:p>
        </w:tc>
        <w:tc>
          <w:tcPr>
            <w:tcW w:w="1418"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73,600 </w:t>
            </w:r>
          </w:p>
        </w:tc>
        <w:tc>
          <w:tcPr>
            <w:tcW w:w="1417"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73,600 </w:t>
            </w:r>
          </w:p>
        </w:tc>
        <w:tc>
          <w:tcPr>
            <w:tcW w:w="1276"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73,400 </w:t>
            </w:r>
          </w:p>
        </w:tc>
        <w:tc>
          <w:tcPr>
            <w:tcW w:w="1134" w:type="dxa"/>
            <w:tcBorders>
              <w:top w:val="single" w:sz="4" w:space="0" w:color="5B9BD5"/>
              <w:left w:val="single" w:sz="4" w:space="0" w:color="5B9BD5"/>
              <w:bottom w:val="nil"/>
              <w:right w:val="single" w:sz="4" w:space="0" w:color="5B9BD5"/>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309,200 </w:t>
            </w:r>
          </w:p>
        </w:tc>
      </w:tr>
      <w:tr w:rsidR="00125A33" w:rsidRPr="00DB5495" w:rsidTr="00FF2733">
        <w:trPr>
          <w:trHeight w:val="50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3.1.1</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Continuous monitoring of HIV related expenditures through the national health accounts analysis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25,000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25,000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25,000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25,000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100,000 </w:t>
            </w:r>
          </w:p>
        </w:tc>
      </w:tr>
      <w:tr w:rsidR="00125A33" w:rsidRPr="00DB5495" w:rsidTr="00FF2733">
        <w:trPr>
          <w:trHeight w:val="50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lastRenderedPageBreak/>
              <w:t>3.1.2</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Support implementation of transition plan through establishing a dedicated M&amp;E function (FIN.57-64)</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36,200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36,200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36,200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36,000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144,600 </w:t>
            </w:r>
          </w:p>
        </w:tc>
      </w:tr>
      <w:tr w:rsidR="00125A33" w:rsidRPr="00DB5495" w:rsidTr="00FF2733">
        <w:trPr>
          <w:trHeight w:val="50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3.1.3</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Ensure full budgetary commitment and allocative efficiency for national HIV response  (FIN.57-64)</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27,400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12,400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12,400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12,400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64,600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000000" w:fill="DDEBF7"/>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3.2</w:t>
            </w:r>
          </w:p>
        </w:tc>
        <w:tc>
          <w:tcPr>
            <w:tcW w:w="6175"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Improved policy environment and stakeholder coordination</w:t>
            </w:r>
          </w:p>
        </w:tc>
        <w:tc>
          <w:tcPr>
            <w:tcW w:w="1559"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13,084 </w:t>
            </w:r>
          </w:p>
        </w:tc>
        <w:tc>
          <w:tcPr>
            <w:tcW w:w="1418"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68,538 </w:t>
            </w:r>
          </w:p>
        </w:tc>
        <w:tc>
          <w:tcPr>
            <w:tcW w:w="1417"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68,920 </w:t>
            </w:r>
          </w:p>
        </w:tc>
        <w:tc>
          <w:tcPr>
            <w:tcW w:w="1276"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68,920 </w:t>
            </w:r>
          </w:p>
        </w:tc>
        <w:tc>
          <w:tcPr>
            <w:tcW w:w="1134" w:type="dxa"/>
            <w:tcBorders>
              <w:top w:val="single" w:sz="4" w:space="0" w:color="5B9BD5"/>
              <w:left w:val="single" w:sz="4" w:space="0" w:color="5B9BD5"/>
              <w:bottom w:val="nil"/>
              <w:right w:val="single" w:sz="4" w:space="0" w:color="5B9BD5"/>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219,462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3.2.1</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Regular reviews and analyses of HIV related legislation</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9,084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9,538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9,920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9,920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38,462 </w:t>
            </w:r>
          </w:p>
        </w:tc>
      </w:tr>
      <w:tr w:rsidR="00125A33" w:rsidRPr="00DB5495" w:rsidTr="00FF2733">
        <w:trPr>
          <w:trHeight w:val="50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3.2.2</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Development and implementation of stigma reduction activities by PLHIV organisations and KAP networks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55,000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55,000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55,000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165,000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3.2.3</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National AIDS Conference</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4,000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16,000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000000" w:fill="DDEBF7"/>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3.3</w:t>
            </w:r>
          </w:p>
        </w:tc>
        <w:tc>
          <w:tcPr>
            <w:tcW w:w="6175"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Generate evidence for informed decision making</w:t>
            </w:r>
          </w:p>
        </w:tc>
        <w:tc>
          <w:tcPr>
            <w:tcW w:w="1559"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336,149 </w:t>
            </w:r>
          </w:p>
        </w:tc>
        <w:tc>
          <w:tcPr>
            <w:tcW w:w="1418"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137,500 </w:t>
            </w:r>
          </w:p>
        </w:tc>
        <w:tc>
          <w:tcPr>
            <w:tcW w:w="1417"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229,108 </w:t>
            </w:r>
          </w:p>
        </w:tc>
        <w:tc>
          <w:tcPr>
            <w:tcW w:w="1276" w:type="dxa"/>
            <w:tcBorders>
              <w:top w:val="single" w:sz="4" w:space="0" w:color="5B9BD5"/>
              <w:left w:val="single" w:sz="4" w:space="0" w:color="5B9BD5"/>
              <w:bottom w:val="nil"/>
              <w:right w:val="nil"/>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267,108 </w:t>
            </w:r>
          </w:p>
        </w:tc>
        <w:tc>
          <w:tcPr>
            <w:tcW w:w="1134" w:type="dxa"/>
            <w:tcBorders>
              <w:top w:val="single" w:sz="4" w:space="0" w:color="5B9BD5"/>
              <w:left w:val="single" w:sz="4" w:space="0" w:color="5B9BD5"/>
              <w:bottom w:val="nil"/>
              <w:right w:val="single" w:sz="4" w:space="0" w:color="5B9BD5"/>
            </w:tcBorders>
            <w:shd w:val="clear" w:color="000000" w:fill="DDEBF7"/>
            <w:vAlign w:val="bottom"/>
            <w:hideMark/>
          </w:tcPr>
          <w:p w:rsidR="00125A33" w:rsidRPr="00DB5495" w:rsidRDefault="00125A33" w:rsidP="00FF2733">
            <w:pPr>
              <w:jc w:val="right"/>
              <w:rPr>
                <w:rFonts w:ascii="Calibri" w:hAnsi="Calibri" w:cs="Calibri"/>
                <w:b/>
                <w:bCs/>
                <w:color w:val="000000"/>
                <w:sz w:val="18"/>
                <w:szCs w:val="18"/>
              </w:rPr>
            </w:pPr>
            <w:r w:rsidRPr="00DB5495">
              <w:rPr>
                <w:rFonts w:ascii="Calibri" w:hAnsi="Calibri" w:cs="Calibri"/>
                <w:b/>
                <w:bCs/>
                <w:color w:val="000000"/>
                <w:sz w:val="18"/>
                <w:szCs w:val="18"/>
              </w:rPr>
              <w:t xml:space="preserve">                     969,865 </w:t>
            </w:r>
          </w:p>
        </w:tc>
      </w:tr>
      <w:tr w:rsidR="00125A33" w:rsidRPr="00DB5495" w:rsidTr="00FF2733">
        <w:trPr>
          <w:trHeight w:val="120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3.3.1</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Review State Procurement Law and relevant regulations to identify potential barriers for non-state actors, including community-based organizations to deliver HIV services under the state funding/Create enabling environment for CSO and community-based organizations engagement in HIV &amp; TB national response (G&amp;P.54 and 55)</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12,000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12,000 </w:t>
            </w:r>
          </w:p>
        </w:tc>
      </w:tr>
      <w:tr w:rsidR="00125A33" w:rsidRPr="00DB5495" w:rsidTr="00FF2733">
        <w:trPr>
          <w:trHeight w:val="72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3.3.2</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Improve HIV  program's  accountability to disseminate programmatic and financial data to key actors and wider public. </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5,000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20,000 </w:t>
            </w:r>
          </w:p>
        </w:tc>
      </w:tr>
      <w:tr w:rsidR="00125A33" w:rsidRPr="00DB5495" w:rsidTr="00FF2733">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3.3.3</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Develop costed HIV/AIDS National Strategy for 2023-2027 and Action Plan</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16,000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16,000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3.3.4</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Sustainable development of Health Information System in HIV national response</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8,400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8,400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16,800 </w:t>
            </w:r>
          </w:p>
        </w:tc>
      </w:tr>
      <w:tr w:rsidR="00125A33" w:rsidRPr="00DB5495" w:rsidTr="00FF2733">
        <w:trPr>
          <w:trHeight w:val="72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3.3.5</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Develop policy for production and continuous professional development of human resources for HIV/AIDS programs, including CSO personnel</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4,200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4,200 </w:t>
            </w:r>
          </w:p>
        </w:tc>
      </w:tr>
      <w:tr w:rsidR="00125A33" w:rsidRPr="00DB5495" w:rsidTr="00FF2733">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3.3.6</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Integrate HIV training modules in the undergraduate and postgraduate education system</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2,100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2,100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2,100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2,100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8,400 </w:t>
            </w:r>
          </w:p>
        </w:tc>
      </w:tr>
      <w:tr w:rsidR="00125A33" w:rsidRPr="00DB5495" w:rsidTr="00FF2733">
        <w:trPr>
          <w:trHeight w:val="48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3.3.7</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Training of trainers, including that for academia staff on HIV related topics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18,500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22,000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8,008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8,008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56,516 </w:t>
            </w:r>
          </w:p>
        </w:tc>
      </w:tr>
      <w:tr w:rsidR="00125A33" w:rsidRPr="00DB5495" w:rsidTr="00FF2733">
        <w:trPr>
          <w:trHeight w:val="945"/>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lastRenderedPageBreak/>
              <w:t>3.3.8</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Integrated bio-behavioural surveillance studies (IBBSS) among KAPs incorporating population size estimates: PWID, FSW, MSM, prisoners, Street Children and risk behaviour youth and vulnerability baseline study among labour migrants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265,949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180,000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140,000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585,949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3.3.9</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Pre-treatment HIV drug resistance survey (2019, 2021)</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64,000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64,000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128,000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3.3.10</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Monitoring recent HIV infections (2019, 2020,2021,2022)</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20,000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20,000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20,000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20,000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80,000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3.3.11</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Assessing engagement in HIV care (2019, 2021)</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10,000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10,000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20,000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3.3.12</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Survey on health service accessibility (2020, 2022)</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10,000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10,000 </w:t>
            </w:r>
          </w:p>
        </w:tc>
      </w:tr>
      <w:tr w:rsidR="00125A33" w:rsidRPr="00DB5495" w:rsidTr="00FF2733">
        <w:trPr>
          <w:trHeight w:val="315"/>
        </w:trPr>
        <w:tc>
          <w:tcPr>
            <w:tcW w:w="90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3.3.13</w:t>
            </w:r>
          </w:p>
        </w:tc>
        <w:tc>
          <w:tcPr>
            <w:tcW w:w="6175" w:type="dxa"/>
            <w:tcBorders>
              <w:top w:val="single" w:sz="4" w:space="0" w:color="5B9BD5"/>
              <w:left w:val="single" w:sz="4" w:space="0" w:color="5B9BD5"/>
              <w:bottom w:val="nil"/>
              <w:right w:val="nil"/>
            </w:tcBorders>
            <w:shd w:val="clear" w:color="auto" w:fill="auto"/>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Updating public heath and clinical guidelines and national standards</w:t>
            </w:r>
          </w:p>
        </w:tc>
        <w:tc>
          <w:tcPr>
            <w:tcW w:w="1559"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   </w:t>
            </w:r>
          </w:p>
        </w:tc>
        <w:tc>
          <w:tcPr>
            <w:tcW w:w="1418"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6,000 </w:t>
            </w:r>
          </w:p>
        </w:tc>
        <w:tc>
          <w:tcPr>
            <w:tcW w:w="1417"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4,000 </w:t>
            </w:r>
          </w:p>
        </w:tc>
        <w:tc>
          <w:tcPr>
            <w:tcW w:w="1276" w:type="dxa"/>
            <w:tcBorders>
              <w:top w:val="single" w:sz="4" w:space="0" w:color="5B9BD5"/>
              <w:left w:val="single" w:sz="4" w:space="0" w:color="5B9BD5"/>
              <w:bottom w:val="nil"/>
              <w:right w:val="nil"/>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2,000 </w:t>
            </w:r>
          </w:p>
        </w:tc>
        <w:tc>
          <w:tcPr>
            <w:tcW w:w="1134" w:type="dxa"/>
            <w:tcBorders>
              <w:top w:val="single" w:sz="4" w:space="0" w:color="5B9BD5"/>
              <w:left w:val="single" w:sz="4" w:space="0" w:color="5B9BD5"/>
              <w:bottom w:val="nil"/>
              <w:right w:val="single" w:sz="4" w:space="0" w:color="5B9BD5"/>
            </w:tcBorders>
            <w:shd w:val="clear" w:color="auto" w:fill="auto"/>
            <w:noWrap/>
            <w:vAlign w:val="bottom"/>
            <w:hideMark/>
          </w:tcPr>
          <w:p w:rsidR="00125A33" w:rsidRPr="00DB5495" w:rsidRDefault="00125A33" w:rsidP="00FF2733">
            <w:pPr>
              <w:rPr>
                <w:rFonts w:ascii="Calibri" w:hAnsi="Calibri" w:cs="Calibri"/>
                <w:color w:val="000000"/>
                <w:sz w:val="18"/>
                <w:szCs w:val="18"/>
              </w:rPr>
            </w:pPr>
            <w:r w:rsidRPr="00DB5495">
              <w:rPr>
                <w:rFonts w:ascii="Calibri" w:hAnsi="Calibri" w:cs="Calibri"/>
                <w:color w:val="000000"/>
                <w:sz w:val="18"/>
                <w:szCs w:val="18"/>
              </w:rPr>
              <w:t xml:space="preserve">                       12,000 </w:t>
            </w:r>
          </w:p>
        </w:tc>
      </w:tr>
      <w:tr w:rsidR="00125A33" w:rsidRPr="00DB5495" w:rsidTr="00FF2733">
        <w:trPr>
          <w:trHeight w:val="260"/>
        </w:trPr>
        <w:tc>
          <w:tcPr>
            <w:tcW w:w="908"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4</w:t>
            </w:r>
          </w:p>
        </w:tc>
        <w:tc>
          <w:tcPr>
            <w:tcW w:w="6175" w:type="dxa"/>
            <w:tcBorders>
              <w:top w:val="single" w:sz="4" w:space="0" w:color="5B9BD5"/>
              <w:left w:val="single" w:sz="4" w:space="0" w:color="5B9BD5"/>
              <w:bottom w:val="nil"/>
              <w:right w:val="nil"/>
            </w:tcBorders>
            <w:shd w:val="clear" w:color="000000" w:fill="9BC2E6"/>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Management of contribution from international funding mechanism</w:t>
            </w:r>
          </w:p>
        </w:tc>
        <w:tc>
          <w:tcPr>
            <w:tcW w:w="1559"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320,000 </w:t>
            </w:r>
          </w:p>
        </w:tc>
        <w:tc>
          <w:tcPr>
            <w:tcW w:w="1418"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320,000 </w:t>
            </w:r>
          </w:p>
        </w:tc>
        <w:tc>
          <w:tcPr>
            <w:tcW w:w="1417"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320,000 </w:t>
            </w:r>
          </w:p>
        </w:tc>
        <w:tc>
          <w:tcPr>
            <w:tcW w:w="1276" w:type="dxa"/>
            <w:tcBorders>
              <w:top w:val="single" w:sz="4" w:space="0" w:color="5B9BD5"/>
              <w:left w:val="single" w:sz="4" w:space="0" w:color="5B9BD5"/>
              <w:bottom w:val="nil"/>
              <w:right w:val="nil"/>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160,000 </w:t>
            </w:r>
          </w:p>
        </w:tc>
        <w:tc>
          <w:tcPr>
            <w:tcW w:w="1134" w:type="dxa"/>
            <w:tcBorders>
              <w:top w:val="single" w:sz="4" w:space="0" w:color="5B9BD5"/>
              <w:left w:val="single" w:sz="4" w:space="0" w:color="5B9BD5"/>
              <w:bottom w:val="nil"/>
              <w:right w:val="single" w:sz="4" w:space="0" w:color="5B9BD5"/>
            </w:tcBorders>
            <w:shd w:val="clear" w:color="000000" w:fill="9BC2E6"/>
            <w:noWrap/>
            <w:vAlign w:val="bottom"/>
            <w:hideMark/>
          </w:tcPr>
          <w:p w:rsidR="00125A33" w:rsidRPr="00DB5495" w:rsidRDefault="00125A33" w:rsidP="00FF2733">
            <w:pPr>
              <w:rPr>
                <w:rFonts w:ascii="Calibri" w:hAnsi="Calibri" w:cs="Calibri"/>
                <w:b/>
                <w:bCs/>
                <w:color w:val="000000"/>
                <w:sz w:val="18"/>
                <w:szCs w:val="18"/>
              </w:rPr>
            </w:pPr>
            <w:r w:rsidRPr="00DB5495">
              <w:rPr>
                <w:rFonts w:ascii="Calibri" w:hAnsi="Calibri" w:cs="Calibri"/>
                <w:b/>
                <w:bCs/>
                <w:color w:val="000000"/>
                <w:sz w:val="18"/>
                <w:szCs w:val="18"/>
              </w:rPr>
              <w:t xml:space="preserve">                 1,120,000 </w:t>
            </w:r>
          </w:p>
        </w:tc>
      </w:tr>
      <w:tr w:rsidR="00125A33" w:rsidRPr="00DB5495" w:rsidTr="00FF2733">
        <w:trPr>
          <w:trHeight w:val="260"/>
        </w:trPr>
        <w:tc>
          <w:tcPr>
            <w:tcW w:w="908" w:type="dxa"/>
            <w:tcBorders>
              <w:top w:val="single" w:sz="4" w:space="0" w:color="5B9BD5"/>
              <w:left w:val="single" w:sz="4" w:space="0" w:color="5B9BD5"/>
              <w:bottom w:val="single" w:sz="4" w:space="0" w:color="5B9BD5"/>
              <w:right w:val="nil"/>
            </w:tcBorders>
            <w:shd w:val="clear" w:color="000000" w:fill="44546A"/>
            <w:noWrap/>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 </w:t>
            </w:r>
          </w:p>
        </w:tc>
        <w:tc>
          <w:tcPr>
            <w:tcW w:w="6175" w:type="dxa"/>
            <w:tcBorders>
              <w:top w:val="single" w:sz="4" w:space="0" w:color="5B9BD5"/>
              <w:left w:val="single" w:sz="4" w:space="0" w:color="5B9BD5"/>
              <w:bottom w:val="single" w:sz="4" w:space="0" w:color="5B9BD5"/>
              <w:right w:val="nil"/>
            </w:tcBorders>
            <w:shd w:val="clear" w:color="000000" w:fill="44546A"/>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TOTAL</w:t>
            </w:r>
          </w:p>
        </w:tc>
        <w:tc>
          <w:tcPr>
            <w:tcW w:w="1559" w:type="dxa"/>
            <w:tcBorders>
              <w:top w:val="single" w:sz="4" w:space="0" w:color="5B9BD5"/>
              <w:left w:val="single" w:sz="4" w:space="0" w:color="5B9BD5"/>
              <w:bottom w:val="single" w:sz="4" w:space="0" w:color="5B9BD5"/>
              <w:right w:val="nil"/>
            </w:tcBorders>
            <w:shd w:val="clear" w:color="000000" w:fill="44546A"/>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 xml:space="preserve">             22,674,974 </w:t>
            </w:r>
          </w:p>
        </w:tc>
        <w:tc>
          <w:tcPr>
            <w:tcW w:w="1418" w:type="dxa"/>
            <w:tcBorders>
              <w:top w:val="single" w:sz="4" w:space="0" w:color="5B9BD5"/>
              <w:left w:val="single" w:sz="4" w:space="0" w:color="5B9BD5"/>
              <w:bottom w:val="single" w:sz="4" w:space="0" w:color="5B9BD5"/>
              <w:right w:val="nil"/>
            </w:tcBorders>
            <w:shd w:val="clear" w:color="000000" w:fill="44546A"/>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 xml:space="preserve">             24,611,050 </w:t>
            </w:r>
          </w:p>
        </w:tc>
        <w:tc>
          <w:tcPr>
            <w:tcW w:w="1417" w:type="dxa"/>
            <w:tcBorders>
              <w:top w:val="single" w:sz="4" w:space="0" w:color="5B9BD5"/>
              <w:left w:val="single" w:sz="4" w:space="0" w:color="5B9BD5"/>
              <w:bottom w:val="single" w:sz="4" w:space="0" w:color="5B9BD5"/>
              <w:right w:val="nil"/>
            </w:tcBorders>
            <w:shd w:val="clear" w:color="000000" w:fill="44546A"/>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 xml:space="preserve">             26,143,285 </w:t>
            </w:r>
          </w:p>
        </w:tc>
        <w:tc>
          <w:tcPr>
            <w:tcW w:w="1276" w:type="dxa"/>
            <w:tcBorders>
              <w:top w:val="single" w:sz="4" w:space="0" w:color="5B9BD5"/>
              <w:left w:val="single" w:sz="4" w:space="0" w:color="5B9BD5"/>
              <w:bottom w:val="single" w:sz="4" w:space="0" w:color="5B9BD5"/>
              <w:right w:val="nil"/>
            </w:tcBorders>
            <w:shd w:val="clear" w:color="000000" w:fill="44546A"/>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 xml:space="preserve">             27,283,564 </w:t>
            </w:r>
          </w:p>
        </w:tc>
        <w:tc>
          <w:tcPr>
            <w:tcW w:w="1134" w:type="dxa"/>
            <w:tcBorders>
              <w:top w:val="single" w:sz="4" w:space="0" w:color="5B9BD5"/>
              <w:left w:val="single" w:sz="4" w:space="0" w:color="5B9BD5"/>
              <w:bottom w:val="single" w:sz="4" w:space="0" w:color="5B9BD5"/>
              <w:right w:val="single" w:sz="4" w:space="0" w:color="5B9BD5"/>
            </w:tcBorders>
            <w:shd w:val="clear" w:color="000000" w:fill="44546A"/>
            <w:vAlign w:val="bottom"/>
            <w:hideMark/>
          </w:tcPr>
          <w:p w:rsidR="00125A33" w:rsidRPr="00DB5495" w:rsidRDefault="00125A33" w:rsidP="00FF2733">
            <w:pPr>
              <w:rPr>
                <w:rFonts w:ascii="Calibri" w:hAnsi="Calibri" w:cs="Calibri"/>
                <w:b/>
                <w:bCs/>
                <w:color w:val="FFFFFF"/>
                <w:sz w:val="18"/>
                <w:szCs w:val="18"/>
              </w:rPr>
            </w:pPr>
            <w:r w:rsidRPr="00DB5495">
              <w:rPr>
                <w:rFonts w:ascii="Calibri" w:hAnsi="Calibri" w:cs="Calibri"/>
                <w:b/>
                <w:bCs/>
                <w:color w:val="FFFFFF"/>
                <w:sz w:val="18"/>
                <w:szCs w:val="18"/>
              </w:rPr>
              <w:t xml:space="preserve">            100,712,873 </w:t>
            </w:r>
          </w:p>
        </w:tc>
      </w:tr>
    </w:tbl>
    <w:p w:rsidR="004130FA" w:rsidRPr="006B5FAD" w:rsidRDefault="004130FA" w:rsidP="004130FA">
      <w:pPr>
        <w:rPr>
          <w:rFonts w:cs="Menlo Regular"/>
          <w:b/>
        </w:rPr>
      </w:pPr>
    </w:p>
    <w:p w:rsidR="00CC2B69" w:rsidRDefault="00CC2B69" w:rsidP="004F5D99">
      <w:pPr>
        <w:ind w:left="-426"/>
        <w:sectPr w:rsidR="00CC2B69" w:rsidSect="004F5D99">
          <w:pgSz w:w="16840" w:h="11900" w:orient="landscape"/>
          <w:pgMar w:top="1440" w:right="1089" w:bottom="1440" w:left="1440" w:header="708" w:footer="708" w:gutter="0"/>
          <w:cols w:space="708"/>
          <w:docGrid w:linePitch="360"/>
        </w:sectPr>
      </w:pPr>
    </w:p>
    <w:p w:rsidR="000D0C1F" w:rsidRDefault="00F83AE0" w:rsidP="00EB7A51">
      <w:pPr>
        <w:pStyle w:val="Heading3"/>
        <w:tabs>
          <w:tab w:val="left" w:pos="4820"/>
        </w:tabs>
        <w:ind w:right="703"/>
      </w:pPr>
      <w:bookmarkStart w:id="57" w:name="_Ref516843019"/>
      <w:bookmarkStart w:id="58" w:name="_Toc517018635"/>
      <w:r>
        <w:lastRenderedPageBreak/>
        <w:t xml:space="preserve">Annex </w:t>
      </w:r>
      <w:r w:rsidR="003B7A2A">
        <w:rPr>
          <w:noProof/>
        </w:rPr>
        <w:fldChar w:fldCharType="begin"/>
      </w:r>
      <w:r w:rsidR="003B7A2A">
        <w:rPr>
          <w:noProof/>
        </w:rPr>
        <w:instrText xml:space="preserve"> SEQ Annex \* ARABIC </w:instrText>
      </w:r>
      <w:r w:rsidR="003B7A2A">
        <w:rPr>
          <w:noProof/>
        </w:rPr>
        <w:fldChar w:fldCharType="separate"/>
      </w:r>
      <w:r w:rsidR="00406980">
        <w:rPr>
          <w:noProof/>
        </w:rPr>
        <w:t>3</w:t>
      </w:r>
      <w:r w:rsidR="003B7A2A">
        <w:rPr>
          <w:noProof/>
        </w:rPr>
        <w:fldChar w:fldCharType="end"/>
      </w:r>
      <w:bookmarkEnd w:id="57"/>
      <w:r>
        <w:t xml:space="preserve"> 2019 – 2022 NSP M&amp;E Framework</w:t>
      </w:r>
      <w:bookmarkEnd w:id="58"/>
    </w:p>
    <w:tbl>
      <w:tblPr>
        <w:tblW w:w="14737" w:type="dxa"/>
        <w:tblLook w:val="04A0" w:firstRow="1" w:lastRow="0" w:firstColumn="1" w:lastColumn="0" w:noHBand="0" w:noVBand="1"/>
      </w:tblPr>
      <w:tblGrid>
        <w:gridCol w:w="788"/>
        <w:gridCol w:w="3885"/>
        <w:gridCol w:w="1397"/>
        <w:gridCol w:w="1155"/>
        <w:gridCol w:w="1792"/>
        <w:gridCol w:w="809"/>
        <w:gridCol w:w="809"/>
        <w:gridCol w:w="1120"/>
        <w:gridCol w:w="1180"/>
        <w:gridCol w:w="1950"/>
      </w:tblGrid>
      <w:tr w:rsidR="00C0455B" w:rsidTr="007861E0">
        <w:trPr>
          <w:trHeight w:val="340"/>
          <w:tblHeader/>
        </w:trPr>
        <w:tc>
          <w:tcPr>
            <w:tcW w:w="788" w:type="dxa"/>
            <w:tcBorders>
              <w:top w:val="single" w:sz="4" w:space="0" w:color="auto"/>
              <w:left w:val="single" w:sz="4" w:space="0" w:color="auto"/>
              <w:bottom w:val="single" w:sz="4" w:space="0" w:color="auto"/>
              <w:right w:val="single" w:sz="4" w:space="0" w:color="auto"/>
            </w:tcBorders>
            <w:shd w:val="clear" w:color="000000" w:fill="5B9BD5"/>
            <w:noWrap/>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 </w:t>
            </w:r>
          </w:p>
        </w:tc>
        <w:tc>
          <w:tcPr>
            <w:tcW w:w="3885" w:type="dxa"/>
            <w:tcBorders>
              <w:top w:val="single" w:sz="4" w:space="0" w:color="auto"/>
              <w:left w:val="nil"/>
              <w:bottom w:val="single" w:sz="4" w:space="0" w:color="auto"/>
              <w:right w:val="single" w:sz="4" w:space="0" w:color="auto"/>
            </w:tcBorders>
            <w:shd w:val="clear" w:color="000000" w:fill="5B9BD5"/>
            <w:hideMark/>
          </w:tcPr>
          <w:p w:rsidR="00EB7A51" w:rsidRPr="00EB7A51" w:rsidRDefault="00F83AE0" w:rsidP="00EB7A51">
            <w:pPr>
              <w:rPr>
                <w:rFonts w:ascii="Calibri" w:hAnsi="Calibri"/>
                <w:b/>
                <w:bCs/>
                <w:sz w:val="18"/>
                <w:szCs w:val="18"/>
              </w:rPr>
            </w:pPr>
            <w:r w:rsidRPr="00EB7A51">
              <w:rPr>
                <w:rFonts w:ascii="Calibri" w:hAnsi="Calibri"/>
                <w:b/>
                <w:bCs/>
                <w:sz w:val="18"/>
                <w:szCs w:val="18"/>
              </w:rPr>
              <w:t> </w:t>
            </w:r>
          </w:p>
        </w:tc>
        <w:tc>
          <w:tcPr>
            <w:tcW w:w="4344" w:type="dxa"/>
            <w:gridSpan w:val="3"/>
            <w:tcBorders>
              <w:top w:val="single" w:sz="4" w:space="0" w:color="auto"/>
              <w:left w:val="nil"/>
              <w:bottom w:val="single" w:sz="4" w:space="0" w:color="auto"/>
              <w:right w:val="single" w:sz="4" w:space="0" w:color="auto"/>
            </w:tcBorders>
            <w:shd w:val="clear" w:color="000000" w:fill="5B9BD5"/>
            <w:noWrap/>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Baseline</w:t>
            </w:r>
          </w:p>
        </w:tc>
        <w:tc>
          <w:tcPr>
            <w:tcW w:w="5720" w:type="dxa"/>
            <w:gridSpan w:val="5"/>
            <w:tcBorders>
              <w:top w:val="single" w:sz="4" w:space="0" w:color="auto"/>
              <w:left w:val="nil"/>
              <w:bottom w:val="single" w:sz="4" w:space="0" w:color="auto"/>
              <w:right w:val="single" w:sz="4" w:space="0" w:color="auto"/>
            </w:tcBorders>
            <w:shd w:val="clear" w:color="000000" w:fill="5B9BD5"/>
            <w:noWrap/>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Timeframe and targets</w:t>
            </w:r>
          </w:p>
        </w:tc>
      </w:tr>
      <w:tr w:rsidR="00C0455B" w:rsidTr="007861E0">
        <w:trPr>
          <w:trHeight w:val="340"/>
          <w:tblHeader/>
        </w:trPr>
        <w:tc>
          <w:tcPr>
            <w:tcW w:w="788" w:type="dxa"/>
            <w:tcBorders>
              <w:top w:val="nil"/>
              <w:left w:val="single" w:sz="4" w:space="0" w:color="auto"/>
              <w:bottom w:val="single" w:sz="4" w:space="0" w:color="auto"/>
              <w:right w:val="single" w:sz="4" w:space="0" w:color="auto"/>
            </w:tcBorders>
            <w:shd w:val="clear" w:color="000000" w:fill="5B9BD5"/>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Ind type</w:t>
            </w:r>
          </w:p>
        </w:tc>
        <w:tc>
          <w:tcPr>
            <w:tcW w:w="3885" w:type="dxa"/>
            <w:tcBorders>
              <w:top w:val="nil"/>
              <w:left w:val="nil"/>
              <w:bottom w:val="single" w:sz="4" w:space="0" w:color="auto"/>
              <w:right w:val="single" w:sz="4" w:space="0" w:color="auto"/>
            </w:tcBorders>
            <w:shd w:val="clear" w:color="000000" w:fill="5B9BD5"/>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 xml:space="preserve">Indicator name </w:t>
            </w:r>
          </w:p>
        </w:tc>
        <w:tc>
          <w:tcPr>
            <w:tcW w:w="1397" w:type="dxa"/>
            <w:tcBorders>
              <w:top w:val="nil"/>
              <w:left w:val="nil"/>
              <w:bottom w:val="single" w:sz="4" w:space="0" w:color="auto"/>
              <w:right w:val="single" w:sz="4" w:space="0" w:color="auto"/>
            </w:tcBorders>
            <w:shd w:val="clear" w:color="000000" w:fill="5B9BD5"/>
            <w:noWrap/>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Value</w:t>
            </w:r>
          </w:p>
        </w:tc>
        <w:tc>
          <w:tcPr>
            <w:tcW w:w="1155" w:type="dxa"/>
            <w:tcBorders>
              <w:top w:val="nil"/>
              <w:left w:val="nil"/>
              <w:bottom w:val="single" w:sz="4" w:space="0" w:color="auto"/>
              <w:right w:val="single" w:sz="4" w:space="0" w:color="auto"/>
            </w:tcBorders>
            <w:shd w:val="clear" w:color="000000" w:fill="5B9BD5"/>
            <w:noWrap/>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Year</w:t>
            </w:r>
          </w:p>
        </w:tc>
        <w:tc>
          <w:tcPr>
            <w:tcW w:w="1792" w:type="dxa"/>
            <w:tcBorders>
              <w:top w:val="nil"/>
              <w:left w:val="nil"/>
              <w:bottom w:val="single" w:sz="4" w:space="0" w:color="auto"/>
              <w:right w:val="single" w:sz="4" w:space="0" w:color="auto"/>
            </w:tcBorders>
            <w:shd w:val="clear" w:color="000000" w:fill="5B9BD5"/>
            <w:noWrap/>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Source</w:t>
            </w:r>
          </w:p>
        </w:tc>
        <w:tc>
          <w:tcPr>
            <w:tcW w:w="809" w:type="dxa"/>
            <w:tcBorders>
              <w:top w:val="nil"/>
              <w:left w:val="nil"/>
              <w:bottom w:val="single" w:sz="4" w:space="0" w:color="auto"/>
              <w:right w:val="single" w:sz="4" w:space="0" w:color="auto"/>
            </w:tcBorders>
            <w:shd w:val="clear" w:color="000000" w:fill="5B9BD5"/>
            <w:noWrap/>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2019</w:t>
            </w:r>
          </w:p>
        </w:tc>
        <w:tc>
          <w:tcPr>
            <w:tcW w:w="809" w:type="dxa"/>
            <w:tcBorders>
              <w:top w:val="nil"/>
              <w:left w:val="nil"/>
              <w:bottom w:val="single" w:sz="4" w:space="0" w:color="auto"/>
              <w:right w:val="single" w:sz="4" w:space="0" w:color="auto"/>
            </w:tcBorders>
            <w:shd w:val="clear" w:color="000000" w:fill="5B9BD5"/>
            <w:noWrap/>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2020</w:t>
            </w:r>
          </w:p>
        </w:tc>
        <w:tc>
          <w:tcPr>
            <w:tcW w:w="1120" w:type="dxa"/>
            <w:tcBorders>
              <w:top w:val="nil"/>
              <w:left w:val="nil"/>
              <w:bottom w:val="single" w:sz="4" w:space="0" w:color="auto"/>
              <w:right w:val="single" w:sz="4" w:space="0" w:color="auto"/>
            </w:tcBorders>
            <w:shd w:val="clear" w:color="000000" w:fill="5B9BD5"/>
            <w:noWrap/>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2021</w:t>
            </w:r>
          </w:p>
        </w:tc>
        <w:tc>
          <w:tcPr>
            <w:tcW w:w="1180" w:type="dxa"/>
            <w:tcBorders>
              <w:top w:val="nil"/>
              <w:left w:val="nil"/>
              <w:bottom w:val="single" w:sz="4" w:space="0" w:color="auto"/>
              <w:right w:val="single" w:sz="4" w:space="0" w:color="auto"/>
            </w:tcBorders>
            <w:shd w:val="clear" w:color="000000" w:fill="5B9BD5"/>
            <w:noWrap/>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2022</w:t>
            </w:r>
          </w:p>
        </w:tc>
        <w:tc>
          <w:tcPr>
            <w:tcW w:w="1661" w:type="dxa"/>
            <w:tcBorders>
              <w:top w:val="nil"/>
              <w:left w:val="nil"/>
              <w:bottom w:val="single" w:sz="4" w:space="0" w:color="auto"/>
              <w:right w:val="single" w:sz="4" w:space="0" w:color="auto"/>
            </w:tcBorders>
            <w:shd w:val="clear" w:color="000000" w:fill="5B9BD5"/>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Source of data</w:t>
            </w:r>
          </w:p>
        </w:tc>
      </w:tr>
      <w:tr w:rsidR="00C0455B" w:rsidTr="007861E0">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3885" w:type="dxa"/>
            <w:tcBorders>
              <w:top w:val="nil"/>
              <w:left w:val="nil"/>
              <w:bottom w:val="single" w:sz="4" w:space="0" w:color="auto"/>
              <w:right w:val="single" w:sz="4" w:space="0" w:color="auto"/>
            </w:tcBorders>
            <w:shd w:val="clear" w:color="000000" w:fill="2F75B5"/>
            <w:vAlign w:val="bottom"/>
            <w:hideMark/>
          </w:tcPr>
          <w:p w:rsidR="00EB7A51" w:rsidRPr="00EB7A51" w:rsidRDefault="00F83AE0" w:rsidP="00EB7A51">
            <w:pPr>
              <w:rPr>
                <w:rFonts w:ascii="Calibri" w:hAnsi="Calibri"/>
                <w:b/>
                <w:bCs/>
                <w:color w:val="FFFFFF"/>
                <w:sz w:val="18"/>
                <w:szCs w:val="18"/>
              </w:rPr>
            </w:pPr>
            <w:r w:rsidRPr="00EB7A51">
              <w:rPr>
                <w:rFonts w:ascii="Calibri" w:hAnsi="Calibri"/>
                <w:b/>
                <w:bCs/>
                <w:color w:val="FFFFFF"/>
                <w:sz w:val="18"/>
                <w:szCs w:val="18"/>
              </w:rPr>
              <w:t>Impact indicators</w:t>
            </w:r>
          </w:p>
        </w:tc>
        <w:tc>
          <w:tcPr>
            <w:tcW w:w="1397"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55"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792"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809"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809"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20"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80"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661" w:type="dxa"/>
            <w:tcBorders>
              <w:top w:val="nil"/>
              <w:left w:val="nil"/>
              <w:bottom w:val="single" w:sz="4" w:space="0" w:color="auto"/>
              <w:right w:val="single" w:sz="4" w:space="0" w:color="auto"/>
            </w:tcBorders>
            <w:shd w:val="clear" w:color="000000" w:fill="2F75B5"/>
            <w:noWrap/>
            <w:vAlign w:val="bottom"/>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Imp.1</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HIV prevalence rate  per 100,000 population)</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400 per 100,000 (0.40%)</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SPECTRUM</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&lt;500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&lt;500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&lt;500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&lt;500</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SPECTRUM</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Imp.2</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AIDS-related mortality per 100,000 population</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1.9/100,000</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w:t>
            </w:r>
          </w:p>
        </w:tc>
        <w:tc>
          <w:tcPr>
            <w:tcW w:w="1661"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data/Civil registration/SPECTRUM</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Imp.3</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Percentage of men having sex with men (MSM) who are living with HIV </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21% (Tbilisi)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2015</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&lt;25%</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&lt;25%</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Imp.4</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sex workers (SW) who are living with HIV</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&lt;2%</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Imp.5</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people who inject drugs (PWID) who are living with HIV</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2.30%</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&lt;3%</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&lt;3%</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&lt;3%</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&lt;3%</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Imp.6</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HIV Incidence rate (per 1,000 population)</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0.22</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Monitoring data/SPECTRUM</w:t>
            </w:r>
          </w:p>
        </w:tc>
        <w:tc>
          <w:tcPr>
            <w:tcW w:w="809"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0.19</w:t>
            </w:r>
          </w:p>
        </w:tc>
        <w:tc>
          <w:tcPr>
            <w:tcW w:w="809"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0.16</w:t>
            </w:r>
          </w:p>
        </w:tc>
        <w:tc>
          <w:tcPr>
            <w:tcW w:w="1120"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0.13</w:t>
            </w:r>
          </w:p>
        </w:tc>
        <w:tc>
          <w:tcPr>
            <w:tcW w:w="1180"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0.1</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SPECTRUM</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Imp.7</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Congenital syphilis rate (per 100,000 live births)</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15.2 (N=8)</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HIS</w:t>
            </w:r>
          </w:p>
        </w:tc>
        <w:tc>
          <w:tcPr>
            <w:tcW w:w="809"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&lt;50</w:t>
            </w:r>
          </w:p>
        </w:tc>
        <w:tc>
          <w:tcPr>
            <w:tcW w:w="809"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&lt;50</w:t>
            </w:r>
          </w:p>
        </w:tc>
        <w:tc>
          <w:tcPr>
            <w:tcW w:w="1120"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&lt;50</w:t>
            </w:r>
          </w:p>
        </w:tc>
        <w:tc>
          <w:tcPr>
            <w:tcW w:w="1180"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&lt;50</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HIS</w:t>
            </w:r>
          </w:p>
        </w:tc>
      </w:tr>
      <w:tr w:rsidR="00C0455B" w:rsidTr="007861E0">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3885" w:type="dxa"/>
            <w:tcBorders>
              <w:top w:val="nil"/>
              <w:left w:val="nil"/>
              <w:bottom w:val="single" w:sz="4" w:space="0" w:color="auto"/>
              <w:right w:val="single" w:sz="4" w:space="0" w:color="auto"/>
            </w:tcBorders>
            <w:shd w:val="clear" w:color="000000" w:fill="2F75B5"/>
            <w:vAlign w:val="bottom"/>
            <w:hideMark/>
          </w:tcPr>
          <w:p w:rsidR="00EB7A51" w:rsidRPr="00EB7A51" w:rsidRDefault="00F83AE0" w:rsidP="00EB7A51">
            <w:pPr>
              <w:rPr>
                <w:rFonts w:ascii="Calibri" w:hAnsi="Calibri"/>
                <w:b/>
                <w:bCs/>
                <w:color w:val="FFFFFF"/>
                <w:sz w:val="18"/>
                <w:szCs w:val="18"/>
              </w:rPr>
            </w:pPr>
            <w:r w:rsidRPr="00EB7A51">
              <w:rPr>
                <w:rFonts w:ascii="Calibri" w:hAnsi="Calibri"/>
                <w:b/>
                <w:bCs/>
                <w:color w:val="FFFFFF"/>
                <w:sz w:val="18"/>
                <w:szCs w:val="18"/>
              </w:rPr>
              <w:t>Outcome indicators</w:t>
            </w:r>
          </w:p>
        </w:tc>
        <w:tc>
          <w:tcPr>
            <w:tcW w:w="1397"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55"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792"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809"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809"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20"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80"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661" w:type="dxa"/>
            <w:tcBorders>
              <w:top w:val="nil"/>
              <w:left w:val="nil"/>
              <w:bottom w:val="single" w:sz="4" w:space="0" w:color="auto"/>
              <w:right w:val="single" w:sz="4" w:space="0" w:color="auto"/>
            </w:tcBorders>
            <w:shd w:val="clear" w:color="000000" w:fill="2F75B5"/>
            <w:noWrap/>
            <w:vAlign w:val="bottom"/>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O.8</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Percentage of people living with HIV who know their status</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48%</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Monitoring data/SPECTRUM</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70%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80%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90%</w:t>
            </w:r>
          </w:p>
        </w:tc>
        <w:tc>
          <w:tcPr>
            <w:tcW w:w="1661"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SPECTRUM/ monitoring data</w:t>
            </w:r>
          </w:p>
        </w:tc>
      </w:tr>
      <w:tr w:rsidR="00C0455B" w:rsidTr="007861E0">
        <w:trPr>
          <w:trHeight w:val="64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O.9</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Late HIV diagnosis </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51.4% (&lt;350 cells/mm</w:t>
            </w:r>
            <w:r w:rsidRPr="00EB7A51">
              <w:rPr>
                <w:rFonts w:ascii="Calibri" w:hAnsi="Calibri"/>
                <w:color w:val="000000"/>
                <w:sz w:val="18"/>
                <w:szCs w:val="18"/>
                <w:vertAlign w:val="superscript"/>
              </w:rPr>
              <w:t>3</w:t>
            </w:r>
            <w:r w:rsidRPr="00EB7A51">
              <w:rPr>
                <w:rFonts w:ascii="Calibri" w:hAnsi="Calibri"/>
                <w:color w:val="000000"/>
                <w:sz w:val="18"/>
                <w:szCs w:val="18"/>
              </w:rPr>
              <w:t xml:space="preserve">); </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45%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40%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35%</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30%</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Monitoring data</w:t>
            </w:r>
          </w:p>
        </w:tc>
      </w:tr>
      <w:tr w:rsidR="00C0455B" w:rsidTr="007861E0">
        <w:trPr>
          <w:trHeight w:val="640"/>
        </w:trPr>
        <w:tc>
          <w:tcPr>
            <w:tcW w:w="788"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sz w:val="18"/>
                <w:szCs w:val="18"/>
              </w:rPr>
            </w:pPr>
          </w:p>
        </w:tc>
        <w:tc>
          <w:tcPr>
            <w:tcW w:w="3885"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33.7% (&lt;200 cells/mm</w:t>
            </w:r>
            <w:r w:rsidRPr="00EB7A51">
              <w:rPr>
                <w:rFonts w:ascii="Calibri" w:hAnsi="Calibri"/>
                <w:color w:val="000000"/>
                <w:sz w:val="18"/>
                <w:szCs w:val="18"/>
                <w:vertAlign w:val="superscript"/>
              </w:rPr>
              <w:t>3</w:t>
            </w:r>
            <w:r w:rsidRPr="00EB7A51">
              <w:rPr>
                <w:rFonts w:ascii="Calibri" w:hAnsi="Calibri"/>
                <w:color w:val="000000"/>
                <w:sz w:val="18"/>
                <w:szCs w:val="18"/>
              </w:rPr>
              <w:t>)</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Monitoring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O.10</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ART coverage: Percentage of people living with HIV currently receiving ART among the estimated number of adults and children living with HIV</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39%</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Monitoring data/SPECTRUM</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54%</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63%</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72%</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81%</w:t>
            </w:r>
          </w:p>
        </w:tc>
        <w:tc>
          <w:tcPr>
            <w:tcW w:w="1661"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SPECTRUM</w:t>
            </w:r>
          </w:p>
        </w:tc>
      </w:tr>
      <w:tr w:rsidR="00C0455B" w:rsidTr="007861E0">
        <w:trPr>
          <w:trHeight w:val="9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O.11</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adults and children with HIV known to be on treatment 12 months after initiating treatment among patients initiating antiretroviral therapy</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87%</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HIS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89%</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90%</w:t>
            </w:r>
          </w:p>
        </w:tc>
        <w:tc>
          <w:tcPr>
            <w:tcW w:w="1120" w:type="dxa"/>
            <w:tcBorders>
              <w:top w:val="nil"/>
              <w:left w:val="nil"/>
              <w:bottom w:val="nil"/>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90%</w:t>
            </w:r>
          </w:p>
        </w:tc>
        <w:tc>
          <w:tcPr>
            <w:tcW w:w="1180" w:type="dxa"/>
            <w:tcBorders>
              <w:top w:val="nil"/>
              <w:left w:val="nil"/>
              <w:bottom w:val="nil"/>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90%</w:t>
            </w:r>
          </w:p>
        </w:tc>
        <w:tc>
          <w:tcPr>
            <w:tcW w:w="1661"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HIS</w:t>
            </w:r>
          </w:p>
        </w:tc>
      </w:tr>
      <w:tr w:rsidR="00C0455B" w:rsidTr="007861E0">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lastRenderedPageBreak/>
              <w:t>O.12</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men reporting the use of a condom the last time they had anal sex with a male partner</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63.2% in Tbilisi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2015</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70%</w:t>
            </w:r>
          </w:p>
        </w:tc>
        <w:tc>
          <w:tcPr>
            <w:tcW w:w="809" w:type="dxa"/>
            <w:tcBorders>
              <w:top w:val="nil"/>
              <w:left w:val="nil"/>
              <w:bottom w:val="single" w:sz="4" w:space="0" w:color="auto"/>
              <w:right w:val="nil"/>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rsidTr="007861E0">
        <w:trPr>
          <w:trHeight w:val="300"/>
        </w:trPr>
        <w:tc>
          <w:tcPr>
            <w:tcW w:w="788"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3885"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78.8% in Batumi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2015</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80%</w:t>
            </w:r>
          </w:p>
        </w:tc>
        <w:tc>
          <w:tcPr>
            <w:tcW w:w="809" w:type="dxa"/>
            <w:tcBorders>
              <w:top w:val="nil"/>
              <w:left w:val="nil"/>
              <w:bottom w:val="single" w:sz="4" w:space="0" w:color="auto"/>
              <w:right w:val="nil"/>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85%</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O.13</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SW reporting the use of a condom with their most recent client</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96% in Tbilisi; 90% in Batumi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nil"/>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&gt;90%</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O.14</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Number of needles and syringes distributed per PWID per year</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73 syringes per PWID per year</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80</w:t>
            </w:r>
          </w:p>
        </w:tc>
        <w:tc>
          <w:tcPr>
            <w:tcW w:w="809" w:type="dxa"/>
            <w:tcBorders>
              <w:top w:val="nil"/>
              <w:left w:val="nil"/>
              <w:bottom w:val="single" w:sz="4" w:space="0" w:color="auto"/>
              <w:right w:val="nil"/>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90</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100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110</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Program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O.15</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PWID reporting the use of sterile injecting equipment the last time they injected</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81%</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rsidTr="007861E0">
        <w:trPr>
          <w:trHeight w:val="34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3885" w:type="dxa"/>
            <w:tcBorders>
              <w:top w:val="nil"/>
              <w:left w:val="nil"/>
              <w:bottom w:val="single" w:sz="4" w:space="0" w:color="auto"/>
              <w:right w:val="single" w:sz="4" w:space="0" w:color="auto"/>
            </w:tcBorders>
            <w:shd w:val="clear" w:color="000000" w:fill="2F75B5"/>
            <w:vAlign w:val="bottom"/>
            <w:hideMark/>
          </w:tcPr>
          <w:p w:rsidR="00EB7A51" w:rsidRPr="00EB7A51" w:rsidRDefault="00F83AE0" w:rsidP="00EB7A51">
            <w:pPr>
              <w:rPr>
                <w:rFonts w:ascii="Calibri" w:hAnsi="Calibri"/>
                <w:b/>
                <w:bCs/>
                <w:color w:val="FFFFFF"/>
                <w:sz w:val="18"/>
                <w:szCs w:val="18"/>
              </w:rPr>
            </w:pPr>
            <w:r w:rsidRPr="00EB7A51">
              <w:rPr>
                <w:rFonts w:ascii="Calibri" w:hAnsi="Calibri"/>
                <w:b/>
                <w:bCs/>
                <w:color w:val="FFFFFF"/>
                <w:sz w:val="18"/>
                <w:szCs w:val="18"/>
              </w:rPr>
              <w:t>Coverage/Output indicators</w:t>
            </w:r>
          </w:p>
        </w:tc>
        <w:tc>
          <w:tcPr>
            <w:tcW w:w="1397"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55"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792"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809"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809"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20"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80"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661" w:type="dxa"/>
            <w:tcBorders>
              <w:top w:val="nil"/>
              <w:left w:val="nil"/>
              <w:bottom w:val="single" w:sz="4" w:space="0" w:color="auto"/>
              <w:right w:val="single" w:sz="4" w:space="0" w:color="auto"/>
            </w:tcBorders>
            <w:shd w:val="clear" w:color="000000" w:fill="2F75B5"/>
            <w:noWrap/>
            <w:vAlign w:val="bottom"/>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r>
      <w:tr w:rsidR="00C0455B" w:rsidTr="007861E0">
        <w:trPr>
          <w:trHeight w:val="63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SO 1</w:t>
            </w:r>
          </w:p>
        </w:tc>
        <w:tc>
          <w:tcPr>
            <w:tcW w:w="3885" w:type="dxa"/>
            <w:tcBorders>
              <w:top w:val="nil"/>
              <w:left w:val="nil"/>
              <w:bottom w:val="single" w:sz="4" w:space="0" w:color="auto"/>
              <w:right w:val="single" w:sz="4" w:space="0" w:color="auto"/>
            </w:tcBorders>
            <w:shd w:val="clear" w:color="000000" w:fill="2F75B5"/>
            <w:vAlign w:val="bottom"/>
            <w:hideMark/>
          </w:tcPr>
          <w:p w:rsidR="00EB7A51" w:rsidRPr="00EB7A51" w:rsidRDefault="00F83AE0" w:rsidP="00EB7A51">
            <w:pPr>
              <w:rPr>
                <w:rFonts w:ascii="Calibri" w:hAnsi="Calibri"/>
                <w:b/>
                <w:bCs/>
                <w:color w:val="FFFFFF"/>
                <w:sz w:val="18"/>
                <w:szCs w:val="18"/>
              </w:rPr>
            </w:pPr>
            <w:r w:rsidRPr="00EB7A51">
              <w:rPr>
                <w:rFonts w:ascii="Calibri" w:hAnsi="Calibri"/>
                <w:b/>
                <w:bCs/>
                <w:color w:val="FFFFFF"/>
                <w:sz w:val="18"/>
                <w:szCs w:val="18"/>
              </w:rPr>
              <w:t>HIV Prevention and Detection: Scale-up of preventive services to ensure timely detection and progression to care</w:t>
            </w:r>
          </w:p>
        </w:tc>
        <w:tc>
          <w:tcPr>
            <w:tcW w:w="1397"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2F75B5"/>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3885" w:type="dxa"/>
            <w:tcBorders>
              <w:top w:val="nil"/>
              <w:left w:val="nil"/>
              <w:bottom w:val="single" w:sz="4" w:space="0" w:color="auto"/>
              <w:right w:val="single" w:sz="4" w:space="0" w:color="auto"/>
            </w:tcBorders>
            <w:shd w:val="clear" w:color="000000" w:fill="DDEBF7"/>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HIV Prevention among PWID</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Cov.16</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Percentage of PWIDs reporting having received a combined set of HIV prevention interventions (last year)</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23%</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60%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rsidTr="007861E0">
        <w:trPr>
          <w:trHeight w:val="300"/>
        </w:trPr>
        <w:tc>
          <w:tcPr>
            <w:tcW w:w="788"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3885"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sz w:val="18"/>
                <w:szCs w:val="18"/>
              </w:rPr>
            </w:pP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52%</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60%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65%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70%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75%</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Cov.17</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PWIDs reporting having received a combined set of HIV prevention interventions (past three months)</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nil"/>
              <w:right w:val="nil"/>
            </w:tcBorders>
            <w:shd w:val="clear" w:color="auto" w:fill="auto"/>
            <w:noWrap/>
            <w:vAlign w:val="center"/>
            <w:hideMark/>
          </w:tcPr>
          <w:p w:rsidR="00EB7A51" w:rsidRPr="00EB7A51" w:rsidRDefault="00EB7A51" w:rsidP="00EB7A51">
            <w:pPr>
              <w:jc w:val="center"/>
              <w:rPr>
                <w:rFonts w:ascii="Calibri" w:hAnsi="Calibri"/>
                <w:color w:val="000000"/>
                <w:sz w:val="18"/>
                <w:szCs w:val="18"/>
              </w:rPr>
            </w:pPr>
          </w:p>
        </w:tc>
        <w:tc>
          <w:tcPr>
            <w:tcW w:w="1792" w:type="dxa"/>
            <w:tcBorders>
              <w:top w:val="nil"/>
              <w:left w:val="single" w:sz="4" w:space="0" w:color="auto"/>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rsidTr="007861E0">
        <w:trPr>
          <w:trHeight w:val="300"/>
        </w:trPr>
        <w:tc>
          <w:tcPr>
            <w:tcW w:w="78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Cov.18</w:t>
            </w:r>
          </w:p>
        </w:tc>
        <w:tc>
          <w:tcPr>
            <w:tcW w:w="3885" w:type="dxa"/>
            <w:vMerge w:val="restart"/>
            <w:tcBorders>
              <w:top w:val="nil"/>
              <w:left w:val="single" w:sz="4" w:space="0" w:color="auto"/>
              <w:bottom w:val="single" w:sz="4" w:space="0" w:color="000000"/>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PWIDs who tested for HIV in the past 12 months, or who know their current HIV status</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36%</w:t>
            </w:r>
          </w:p>
        </w:tc>
        <w:tc>
          <w:tcPr>
            <w:tcW w:w="1155" w:type="dxa"/>
            <w:tcBorders>
              <w:top w:val="single" w:sz="4" w:space="0" w:color="auto"/>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50%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IBBSS</w:t>
            </w:r>
          </w:p>
        </w:tc>
      </w:tr>
      <w:tr w:rsidR="00C0455B" w:rsidTr="007861E0">
        <w:trPr>
          <w:trHeight w:val="300"/>
        </w:trPr>
        <w:tc>
          <w:tcPr>
            <w:tcW w:w="788"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3885"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50%</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55%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60%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65%</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70%</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3885" w:type="dxa"/>
            <w:tcBorders>
              <w:top w:val="nil"/>
              <w:left w:val="nil"/>
              <w:bottom w:val="single" w:sz="4" w:space="0" w:color="auto"/>
              <w:right w:val="single" w:sz="4" w:space="0" w:color="auto"/>
            </w:tcBorders>
            <w:shd w:val="clear" w:color="000000" w:fill="DDEBF7"/>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 xml:space="preserve">Opioid Substitution Treatment (OST) </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Cov.19</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Number of individuals receiving OST </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8038</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xml:space="preserve">           9,500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xml:space="preserve">         11,000 </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xml:space="preserve">        11,000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xml:space="preserve">         11,000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Cov.20</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people who inject drugs (PWID)receiving OST</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49%</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58%</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68%</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68%</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68%</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Cov.21</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Percentage of individuals receiving OST who received treatment for at least 6 months </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47%</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70%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70%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70%</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lastRenderedPageBreak/>
              <w:t>Cov.22</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Number of prisoners who received detox/OST in penitentiary system</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533</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 </w:t>
            </w:r>
          </w:p>
        </w:tc>
        <w:tc>
          <w:tcPr>
            <w:tcW w:w="3885" w:type="dxa"/>
            <w:tcBorders>
              <w:top w:val="nil"/>
              <w:left w:val="nil"/>
              <w:bottom w:val="single" w:sz="4" w:space="0" w:color="auto"/>
              <w:right w:val="single" w:sz="4" w:space="0" w:color="auto"/>
            </w:tcBorders>
            <w:shd w:val="clear" w:color="000000" w:fill="DDEBF7"/>
            <w:hideMark/>
          </w:tcPr>
          <w:p w:rsidR="00EB7A51" w:rsidRPr="00EB7A51" w:rsidRDefault="00F83AE0" w:rsidP="00EB7A51">
            <w:pPr>
              <w:rPr>
                <w:rFonts w:ascii="Calibri" w:hAnsi="Calibri"/>
                <w:b/>
                <w:bCs/>
                <w:sz w:val="18"/>
                <w:szCs w:val="18"/>
              </w:rPr>
            </w:pPr>
            <w:r w:rsidRPr="00EB7A51">
              <w:rPr>
                <w:rFonts w:ascii="Calibri" w:hAnsi="Calibri"/>
                <w:b/>
                <w:bCs/>
                <w:sz w:val="18"/>
                <w:szCs w:val="18"/>
              </w:rPr>
              <w:t>HIV Prevention among MSM</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r>
      <w:tr w:rsidR="00C0455B" w:rsidTr="007861E0">
        <w:trPr>
          <w:trHeight w:val="600"/>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Cov.23</w:t>
            </w:r>
          </w:p>
        </w:tc>
        <w:tc>
          <w:tcPr>
            <w:tcW w:w="38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B7A51" w:rsidRPr="00EB7A51" w:rsidRDefault="00F83AE0" w:rsidP="00EB7A51">
            <w:pPr>
              <w:rPr>
                <w:rFonts w:ascii="Calibri" w:hAnsi="Calibri"/>
                <w:sz w:val="18"/>
                <w:szCs w:val="18"/>
              </w:rPr>
            </w:pPr>
            <w:r w:rsidRPr="00EB7A51">
              <w:rPr>
                <w:rFonts w:ascii="Calibri" w:hAnsi="Calibri"/>
                <w:sz w:val="18"/>
                <w:szCs w:val="18"/>
              </w:rPr>
              <w:t>Percentage of MSM reporting having received a combined set of HIV prevention interventions (last year)</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43.5% in Tbilisi; 40% in Batumi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2015</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60%</w:t>
            </w:r>
          </w:p>
        </w:tc>
        <w:tc>
          <w:tcPr>
            <w:tcW w:w="1180" w:type="dxa"/>
            <w:tcBorders>
              <w:top w:val="nil"/>
              <w:left w:val="nil"/>
              <w:bottom w:val="nil"/>
              <w:right w:val="nil"/>
            </w:tcBorders>
            <w:shd w:val="clear" w:color="auto" w:fill="auto"/>
            <w:noWrap/>
            <w:vAlign w:val="center"/>
            <w:hideMark/>
          </w:tcPr>
          <w:p w:rsidR="00EB7A51" w:rsidRPr="00EB7A51" w:rsidRDefault="00EB7A51" w:rsidP="00EB7A51">
            <w:pPr>
              <w:jc w:val="center"/>
              <w:rPr>
                <w:rFonts w:ascii="Calibri" w:hAnsi="Calibri"/>
                <w:sz w:val="18"/>
                <w:szCs w:val="18"/>
              </w:rPr>
            </w:pPr>
          </w:p>
        </w:tc>
        <w:tc>
          <w:tcPr>
            <w:tcW w:w="1661"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r>
      <w:tr w:rsidR="00C0455B" w:rsidTr="007861E0">
        <w:trPr>
          <w:trHeight w:val="600"/>
        </w:trPr>
        <w:tc>
          <w:tcPr>
            <w:tcW w:w="788"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3885"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sz w:val="18"/>
                <w:szCs w:val="18"/>
              </w:rPr>
            </w:pP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22% in Tbilisi, Batumi, Kutaisi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35%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40%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45%</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50%</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Cov.24</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Percentage of MSM reporting having received a combined set of HIV prevention interventions (past three months)</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TBD</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TBD</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r>
      <w:tr w:rsidR="00C0455B" w:rsidTr="007861E0">
        <w:trPr>
          <w:trHeight w:val="900"/>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Cov.25</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rsidR="00EB7A51" w:rsidRPr="00EB7A51" w:rsidRDefault="00F83AE0" w:rsidP="00EB7A51">
            <w:pPr>
              <w:rPr>
                <w:rFonts w:ascii="Calibri" w:hAnsi="Calibri"/>
                <w:sz w:val="18"/>
                <w:szCs w:val="18"/>
              </w:rPr>
            </w:pPr>
            <w:r w:rsidRPr="00EB7A51">
              <w:rPr>
                <w:rFonts w:ascii="Calibri" w:hAnsi="Calibri"/>
                <w:sz w:val="18"/>
                <w:szCs w:val="18"/>
              </w:rPr>
              <w:t>Percentage of MSM who tested for HIV in the past 12 months, or who know their current HIV status</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(proxy)38.4% in Tbilisi; 43% in Batumi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2015</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45%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r>
      <w:tr w:rsidR="00C0455B" w:rsidTr="007861E0">
        <w:trPr>
          <w:trHeight w:val="600"/>
        </w:trPr>
        <w:tc>
          <w:tcPr>
            <w:tcW w:w="788"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3885"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sz w:val="18"/>
                <w:szCs w:val="18"/>
              </w:rPr>
            </w:pP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13% in Tbilisi, Batumi, Kutaisi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35%</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45%</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Cov.26</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 xml:space="preserve">People receiving pre-exposure prophylaxis </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50</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250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500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750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1000</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 </w:t>
            </w:r>
          </w:p>
        </w:tc>
        <w:tc>
          <w:tcPr>
            <w:tcW w:w="3885" w:type="dxa"/>
            <w:tcBorders>
              <w:top w:val="nil"/>
              <w:left w:val="nil"/>
              <w:bottom w:val="single" w:sz="4" w:space="0" w:color="auto"/>
              <w:right w:val="single" w:sz="4" w:space="0" w:color="auto"/>
            </w:tcBorders>
            <w:shd w:val="clear" w:color="000000" w:fill="DDEBF7"/>
            <w:hideMark/>
          </w:tcPr>
          <w:p w:rsidR="00EB7A51" w:rsidRPr="00EB7A51" w:rsidRDefault="00F83AE0" w:rsidP="00EB7A51">
            <w:pPr>
              <w:rPr>
                <w:rFonts w:ascii="Calibri" w:hAnsi="Calibri"/>
                <w:b/>
                <w:bCs/>
                <w:sz w:val="18"/>
                <w:szCs w:val="18"/>
              </w:rPr>
            </w:pPr>
            <w:r w:rsidRPr="00EB7A51">
              <w:rPr>
                <w:rFonts w:ascii="Calibri" w:hAnsi="Calibri"/>
                <w:b/>
                <w:bCs/>
                <w:sz w:val="18"/>
                <w:szCs w:val="18"/>
              </w:rPr>
              <w:t>HIV Prevention among FSW</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r>
      <w:tr w:rsidR="00C0455B" w:rsidTr="007861E0">
        <w:trPr>
          <w:trHeight w:val="285"/>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Cov.27</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rsidR="00EB7A51" w:rsidRPr="00EB7A51" w:rsidRDefault="00F83AE0" w:rsidP="00EB7A51">
            <w:pPr>
              <w:rPr>
                <w:rFonts w:ascii="Calibri" w:hAnsi="Calibri"/>
                <w:sz w:val="18"/>
                <w:szCs w:val="18"/>
              </w:rPr>
            </w:pPr>
            <w:r w:rsidRPr="00EB7A51">
              <w:rPr>
                <w:rFonts w:ascii="Calibri" w:hAnsi="Calibri"/>
                <w:sz w:val="18"/>
                <w:szCs w:val="18"/>
              </w:rPr>
              <w:t>Percentage of SWs reporting having received a combined set of HIV prevention interventions (last year)</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xml:space="preserve">63% in Tbilisi; </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70%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r>
      <w:tr w:rsidR="00C0455B" w:rsidTr="007861E0">
        <w:trPr>
          <w:trHeight w:val="300"/>
        </w:trPr>
        <w:tc>
          <w:tcPr>
            <w:tcW w:w="788"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3885"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sz w:val="18"/>
                <w:szCs w:val="18"/>
              </w:rPr>
            </w:pP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77% in Batumi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80%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r>
      <w:tr w:rsidR="00C0455B" w:rsidTr="007861E0">
        <w:trPr>
          <w:trHeight w:val="900"/>
        </w:trPr>
        <w:tc>
          <w:tcPr>
            <w:tcW w:w="788"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3885"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sz w:val="18"/>
                <w:szCs w:val="18"/>
              </w:rPr>
            </w:pP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52% in Tbilisi, Kutaisi, Batumi, Zugdidi, Telavi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60%</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Cov.28</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Percentage of SWs reporting having received a combined set of HIV prevention interventions (past three months)</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TBD</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r>
      <w:tr w:rsidR="00C0455B" w:rsidTr="007861E0">
        <w:trPr>
          <w:trHeight w:val="285"/>
        </w:trPr>
        <w:tc>
          <w:tcPr>
            <w:tcW w:w="788" w:type="dxa"/>
            <w:vMerge w:val="restart"/>
            <w:tcBorders>
              <w:top w:val="nil"/>
              <w:left w:val="single" w:sz="4" w:space="0" w:color="auto"/>
              <w:bottom w:val="single" w:sz="4" w:space="0" w:color="000000"/>
              <w:right w:val="single" w:sz="4" w:space="0" w:color="auto"/>
            </w:tcBorders>
            <w:shd w:val="clear" w:color="auto" w:fill="auto"/>
            <w:noWrap/>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Cov.29</w:t>
            </w:r>
          </w:p>
        </w:tc>
        <w:tc>
          <w:tcPr>
            <w:tcW w:w="3885" w:type="dxa"/>
            <w:vMerge w:val="restart"/>
            <w:tcBorders>
              <w:top w:val="nil"/>
              <w:left w:val="single" w:sz="4" w:space="0" w:color="auto"/>
              <w:bottom w:val="single" w:sz="4" w:space="0" w:color="000000"/>
              <w:right w:val="single" w:sz="4" w:space="0" w:color="auto"/>
            </w:tcBorders>
            <w:shd w:val="clear" w:color="000000" w:fill="FFFFFF"/>
            <w:hideMark/>
          </w:tcPr>
          <w:p w:rsidR="00EB7A51" w:rsidRPr="00EB7A51" w:rsidRDefault="00F83AE0" w:rsidP="00EB7A51">
            <w:pPr>
              <w:rPr>
                <w:rFonts w:ascii="Calibri" w:hAnsi="Calibri"/>
                <w:sz w:val="18"/>
                <w:szCs w:val="18"/>
              </w:rPr>
            </w:pPr>
            <w:r w:rsidRPr="00EB7A51">
              <w:rPr>
                <w:rFonts w:ascii="Calibri" w:hAnsi="Calibri"/>
                <w:sz w:val="18"/>
                <w:szCs w:val="18"/>
              </w:rPr>
              <w:t xml:space="preserve">Percentage of SWs who tested for HIV in the past 12 months, or who know their current HIV status </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31% in Tbilisi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50%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r>
      <w:tr w:rsidR="00C0455B" w:rsidTr="007861E0">
        <w:trPr>
          <w:trHeight w:val="300"/>
        </w:trPr>
        <w:tc>
          <w:tcPr>
            <w:tcW w:w="788"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3885"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sz w:val="18"/>
                <w:szCs w:val="18"/>
              </w:rPr>
            </w:pP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58% in Batumi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60%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IBBS</w:t>
            </w:r>
          </w:p>
        </w:tc>
      </w:tr>
      <w:tr w:rsidR="00C0455B" w:rsidTr="007861E0">
        <w:trPr>
          <w:trHeight w:val="900"/>
        </w:trPr>
        <w:tc>
          <w:tcPr>
            <w:tcW w:w="788"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color w:val="000000"/>
                <w:sz w:val="18"/>
                <w:szCs w:val="18"/>
              </w:rPr>
            </w:pPr>
          </w:p>
        </w:tc>
        <w:tc>
          <w:tcPr>
            <w:tcW w:w="3885" w:type="dxa"/>
            <w:vMerge/>
            <w:tcBorders>
              <w:top w:val="nil"/>
              <w:left w:val="single" w:sz="4" w:space="0" w:color="auto"/>
              <w:bottom w:val="single" w:sz="4" w:space="0" w:color="000000"/>
              <w:right w:val="single" w:sz="4" w:space="0" w:color="auto"/>
            </w:tcBorders>
            <w:vAlign w:val="center"/>
            <w:hideMark/>
          </w:tcPr>
          <w:p w:rsidR="00EB7A51" w:rsidRPr="00EB7A51" w:rsidRDefault="00EB7A51" w:rsidP="00EB7A51">
            <w:pPr>
              <w:rPr>
                <w:rFonts w:ascii="Calibri" w:hAnsi="Calibri"/>
                <w:sz w:val="18"/>
                <w:szCs w:val="18"/>
              </w:rPr>
            </w:pP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33%  in Tbilisi, Kutaisi, Batumi, Zugdid</w:t>
            </w:r>
            <w:r w:rsidR="00CD4D6A">
              <w:rPr>
                <w:rFonts w:ascii="Calibri" w:hAnsi="Calibri"/>
                <w:sz w:val="18"/>
                <w:szCs w:val="18"/>
              </w:rPr>
              <w:t>i</w:t>
            </w:r>
            <w:r w:rsidRPr="00EB7A51">
              <w:rPr>
                <w:rFonts w:ascii="Calibri" w:hAnsi="Calibri"/>
                <w:sz w:val="18"/>
                <w:szCs w:val="18"/>
              </w:rPr>
              <w:t>, Telavi</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40%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45%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55%</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Program data</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b/>
                <w:bCs/>
                <w:sz w:val="18"/>
                <w:szCs w:val="18"/>
              </w:rPr>
            </w:pPr>
            <w:r w:rsidRPr="00EB7A51">
              <w:rPr>
                <w:rFonts w:ascii="Calibri" w:hAnsi="Calibri"/>
                <w:b/>
                <w:bCs/>
                <w:sz w:val="18"/>
                <w:szCs w:val="18"/>
              </w:rPr>
              <w:t> </w:t>
            </w:r>
          </w:p>
        </w:tc>
        <w:tc>
          <w:tcPr>
            <w:tcW w:w="3885" w:type="dxa"/>
            <w:tcBorders>
              <w:top w:val="nil"/>
              <w:left w:val="nil"/>
              <w:bottom w:val="single" w:sz="4" w:space="0" w:color="auto"/>
              <w:right w:val="single" w:sz="4" w:space="0" w:color="auto"/>
            </w:tcBorders>
            <w:shd w:val="clear" w:color="000000" w:fill="DDEBF7"/>
            <w:hideMark/>
          </w:tcPr>
          <w:p w:rsidR="00EB7A51" w:rsidRPr="00EB7A51" w:rsidRDefault="00F83AE0" w:rsidP="00EB7A51">
            <w:pPr>
              <w:rPr>
                <w:rFonts w:ascii="Calibri" w:hAnsi="Calibri"/>
                <w:b/>
                <w:bCs/>
                <w:sz w:val="18"/>
                <w:szCs w:val="18"/>
              </w:rPr>
            </w:pPr>
            <w:r w:rsidRPr="00EB7A51">
              <w:rPr>
                <w:rFonts w:ascii="Calibri" w:hAnsi="Calibri"/>
                <w:b/>
                <w:bCs/>
                <w:sz w:val="18"/>
                <w:szCs w:val="18"/>
              </w:rPr>
              <w:t>HIV Prevention among prisoners</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Cov.30</w:t>
            </w:r>
          </w:p>
        </w:tc>
        <w:tc>
          <w:tcPr>
            <w:tcW w:w="3885"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rPr>
                <w:rFonts w:ascii="Calibri" w:hAnsi="Calibri"/>
                <w:sz w:val="18"/>
                <w:szCs w:val="18"/>
              </w:rPr>
            </w:pPr>
            <w:r w:rsidRPr="00EB7A51">
              <w:rPr>
                <w:rFonts w:ascii="Calibri" w:hAnsi="Calibri"/>
                <w:sz w:val="18"/>
                <w:szCs w:val="18"/>
              </w:rPr>
              <w:t>Percentage of prisoners that have received an HIV test during the reporting period and knew their HIV test results</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60%</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65%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70%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75%</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75%</w:t>
            </w:r>
          </w:p>
        </w:tc>
        <w:tc>
          <w:tcPr>
            <w:tcW w:w="1661"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3885" w:type="dxa"/>
            <w:tcBorders>
              <w:top w:val="nil"/>
              <w:left w:val="nil"/>
              <w:bottom w:val="single" w:sz="4" w:space="0" w:color="auto"/>
              <w:right w:val="single" w:sz="4" w:space="0" w:color="auto"/>
            </w:tcBorders>
            <w:shd w:val="clear" w:color="000000" w:fill="DDEBF7"/>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Improve HIV case detection through targeted HTC in specialty clinics, and expanding PIT in healthcare settings</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Cov.31</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Number of People living with HIV who know their status</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5,090</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Surveillance/National AIDS HIS</w:t>
            </w:r>
          </w:p>
        </w:tc>
        <w:tc>
          <w:tcPr>
            <w:tcW w:w="809"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right"/>
              <w:rPr>
                <w:rFonts w:ascii="Calibri" w:hAnsi="Calibri"/>
                <w:sz w:val="18"/>
                <w:szCs w:val="18"/>
              </w:rPr>
            </w:pPr>
            <w:r w:rsidRPr="00EB7A51">
              <w:rPr>
                <w:rFonts w:ascii="Calibri" w:hAnsi="Calibri"/>
                <w:sz w:val="18"/>
                <w:szCs w:val="18"/>
              </w:rPr>
              <w:t>6,800</w:t>
            </w:r>
          </w:p>
        </w:tc>
        <w:tc>
          <w:tcPr>
            <w:tcW w:w="809"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right"/>
              <w:rPr>
                <w:rFonts w:ascii="Calibri" w:hAnsi="Calibri"/>
                <w:sz w:val="18"/>
                <w:szCs w:val="18"/>
              </w:rPr>
            </w:pPr>
            <w:r w:rsidRPr="00EB7A51">
              <w:rPr>
                <w:rFonts w:ascii="Calibri" w:hAnsi="Calibri"/>
                <w:sz w:val="18"/>
                <w:szCs w:val="18"/>
              </w:rPr>
              <w:t>8,200</w:t>
            </w:r>
          </w:p>
        </w:tc>
        <w:tc>
          <w:tcPr>
            <w:tcW w:w="1120"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right"/>
              <w:rPr>
                <w:rFonts w:ascii="Calibri" w:hAnsi="Calibri"/>
                <w:sz w:val="18"/>
                <w:szCs w:val="18"/>
              </w:rPr>
            </w:pPr>
            <w:r w:rsidRPr="00EB7A51">
              <w:rPr>
                <w:rFonts w:ascii="Calibri" w:hAnsi="Calibri"/>
                <w:sz w:val="18"/>
                <w:szCs w:val="18"/>
              </w:rPr>
              <w:t>9,600</w:t>
            </w:r>
          </w:p>
        </w:tc>
        <w:tc>
          <w:tcPr>
            <w:tcW w:w="1180"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right"/>
              <w:rPr>
                <w:rFonts w:ascii="Calibri" w:hAnsi="Calibri"/>
                <w:sz w:val="18"/>
                <w:szCs w:val="18"/>
              </w:rPr>
            </w:pPr>
            <w:r w:rsidRPr="00EB7A51">
              <w:rPr>
                <w:rFonts w:ascii="Calibri" w:hAnsi="Calibri"/>
                <w:sz w:val="18"/>
                <w:szCs w:val="18"/>
              </w:rPr>
              <w:t>11,000</w:t>
            </w:r>
          </w:p>
        </w:tc>
        <w:tc>
          <w:tcPr>
            <w:tcW w:w="1661"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Surveillance/National AIDS HIS</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Cov.32</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Number of people who received HTC for HIV in specialty clinics and know their HIV test result</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30,275</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w:t>
            </w:r>
          </w:p>
        </w:tc>
        <w:tc>
          <w:tcPr>
            <w:tcW w:w="809" w:type="dxa"/>
            <w:tcBorders>
              <w:top w:val="single" w:sz="4" w:space="0" w:color="auto"/>
              <w:left w:val="single" w:sz="4" w:space="0" w:color="auto"/>
              <w:bottom w:val="single" w:sz="4" w:space="0" w:color="auto"/>
              <w:right w:val="nil"/>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xml:space="preserve">        43,250 </w:t>
            </w:r>
          </w:p>
        </w:tc>
        <w:tc>
          <w:tcPr>
            <w:tcW w:w="809" w:type="dxa"/>
            <w:tcBorders>
              <w:top w:val="single" w:sz="4" w:space="0" w:color="auto"/>
              <w:left w:val="single" w:sz="4" w:space="0" w:color="auto"/>
              <w:bottom w:val="single" w:sz="4" w:space="0" w:color="auto"/>
              <w:right w:val="nil"/>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xml:space="preserve">         51,400 </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xml:space="preserve">        52,000 </w:t>
            </w:r>
          </w:p>
        </w:tc>
        <w:tc>
          <w:tcPr>
            <w:tcW w:w="1180" w:type="dxa"/>
            <w:tcBorders>
              <w:top w:val="single" w:sz="4" w:space="0" w:color="auto"/>
              <w:left w:val="single" w:sz="4" w:space="0" w:color="auto"/>
              <w:bottom w:val="single" w:sz="4" w:space="0" w:color="auto"/>
              <w:right w:val="nil"/>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xml:space="preserve">         52,000 </w:t>
            </w:r>
          </w:p>
        </w:tc>
        <w:tc>
          <w:tcPr>
            <w:tcW w:w="1661" w:type="dxa"/>
            <w:tcBorders>
              <w:top w:val="nil"/>
              <w:left w:val="single" w:sz="4" w:space="0" w:color="auto"/>
              <w:bottom w:val="single" w:sz="4" w:space="0" w:color="auto"/>
              <w:right w:val="single" w:sz="4" w:space="0" w:color="auto"/>
            </w:tcBorders>
            <w:shd w:val="clear" w:color="000000" w:fill="FFFFFF"/>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Surveillance/National AIDS HIS</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Cov.33</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Number of hospitalized patients who received PIT and know their HIV test results </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w:t>
            </w:r>
          </w:p>
        </w:tc>
        <w:tc>
          <w:tcPr>
            <w:tcW w:w="809" w:type="dxa"/>
            <w:tcBorders>
              <w:top w:val="single" w:sz="4" w:space="0" w:color="auto"/>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300,000</w:t>
            </w:r>
          </w:p>
        </w:tc>
        <w:tc>
          <w:tcPr>
            <w:tcW w:w="809" w:type="dxa"/>
            <w:tcBorders>
              <w:top w:val="single" w:sz="4" w:space="0" w:color="auto"/>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300,000</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300,000</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300,000</w:t>
            </w:r>
          </w:p>
        </w:tc>
        <w:tc>
          <w:tcPr>
            <w:tcW w:w="1661"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Surveillance/National AIDS HIS</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Cov.34</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Number of patients visiting primary health care who received PIT and know their HIV test results</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120,000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150,000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175,000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200,000</w:t>
            </w:r>
          </w:p>
        </w:tc>
        <w:tc>
          <w:tcPr>
            <w:tcW w:w="1661"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Surveillance/National AIDS HIS</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Cov.35</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Seropositivity rate among persons tested through the PIT</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661"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Surveillance/National AIDS HIS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3885" w:type="dxa"/>
            <w:tcBorders>
              <w:top w:val="nil"/>
              <w:left w:val="nil"/>
              <w:bottom w:val="single" w:sz="4" w:space="0" w:color="auto"/>
              <w:right w:val="single" w:sz="4" w:space="0" w:color="auto"/>
            </w:tcBorders>
            <w:shd w:val="clear" w:color="000000" w:fill="DDEBF7"/>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Ensuring safety of donor blood</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Cov.36</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Percentage of blood units screened for HIV in a quality assured manner</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100%</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100%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100%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100%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100%</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Cov.37</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voluntary donors</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28%</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2018</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35%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40%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45%</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3885" w:type="dxa"/>
            <w:tcBorders>
              <w:top w:val="nil"/>
              <w:left w:val="nil"/>
              <w:bottom w:val="single" w:sz="4" w:space="0" w:color="auto"/>
              <w:right w:val="single" w:sz="4" w:space="0" w:color="auto"/>
            </w:tcBorders>
            <w:shd w:val="clear" w:color="000000" w:fill="DDEBF7"/>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Elimination of Mother to Child Transmission of HIV (EMTCT)</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Cov.38</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pregnant women who were tested for HIV and received results</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94%</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&gt;=95%</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&gt;=95%</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lastRenderedPageBreak/>
              <w:t>Cov.39</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HIV-positive pregnant women who received antiretrovirals to reduce the risk of mother-to-child transmission</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85%</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SPECTRUM</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Cov.40</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Percentage of infants born to HIV-positive women receiving a virological test for HIV within 2 months of birth </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100% (actual N=51)</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Cov.41</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HIV prevalence among pregnant women (%)</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0.10%</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 (MCH Strategy)</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&lt;0.05%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&lt;0.05%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&lt;0.05%</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&lt;0.05%</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Cov.42</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Coverage of syphilis testing in women attending antenatal care services: Percentage of pregnant women who were tested for syphilis (at least once during pregnancy)</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92% (52,938/57,428)</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 95%</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Cov.43</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pregnant women attending antenatal clinics with a positive (reactive) syphilis serology</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0.3% (176/52,938)</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0.10%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&lt;0.1%</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&lt;0.1%</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&lt;0.1%</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Cov.44</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antenatal care attendees during a specified period with a positive syphilis serology who were treated adequately</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&gt;95%</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&gt;95%</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&gt;95%</w:t>
            </w:r>
          </w:p>
        </w:tc>
        <w:tc>
          <w:tcPr>
            <w:tcW w:w="1661" w:type="dxa"/>
            <w:tcBorders>
              <w:top w:val="nil"/>
              <w:left w:val="nil"/>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640"/>
        </w:trPr>
        <w:tc>
          <w:tcPr>
            <w:tcW w:w="788" w:type="dxa"/>
            <w:tcBorders>
              <w:top w:val="nil"/>
              <w:left w:val="single" w:sz="4" w:space="0" w:color="auto"/>
              <w:bottom w:val="single" w:sz="4" w:space="0" w:color="auto"/>
              <w:right w:val="single" w:sz="4" w:space="0" w:color="auto"/>
            </w:tcBorders>
            <w:shd w:val="clear" w:color="000000" w:fill="305496"/>
            <w:noWrap/>
            <w:vAlign w:val="bottom"/>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SO 2</w:t>
            </w:r>
          </w:p>
        </w:tc>
        <w:tc>
          <w:tcPr>
            <w:tcW w:w="3885" w:type="dxa"/>
            <w:tcBorders>
              <w:top w:val="nil"/>
              <w:left w:val="nil"/>
              <w:bottom w:val="single" w:sz="4" w:space="0" w:color="auto"/>
              <w:right w:val="single" w:sz="4" w:space="0" w:color="auto"/>
            </w:tcBorders>
            <w:shd w:val="clear" w:color="000000" w:fill="305496"/>
            <w:vAlign w:val="bottom"/>
            <w:hideMark/>
          </w:tcPr>
          <w:p w:rsidR="00EB7A51" w:rsidRPr="00EB7A51" w:rsidRDefault="00F83AE0" w:rsidP="00EB7A51">
            <w:pPr>
              <w:rPr>
                <w:rFonts w:ascii="Calibri" w:hAnsi="Calibri"/>
                <w:b/>
                <w:bCs/>
                <w:color w:val="FFFFFF"/>
                <w:sz w:val="18"/>
                <w:szCs w:val="18"/>
              </w:rPr>
            </w:pPr>
            <w:r w:rsidRPr="00EB7A51">
              <w:rPr>
                <w:rFonts w:ascii="Calibri" w:hAnsi="Calibri"/>
                <w:b/>
                <w:bCs/>
                <w:color w:val="FFFFFF"/>
                <w:sz w:val="18"/>
                <w:szCs w:val="18"/>
              </w:rPr>
              <w:t>HIV Treatment and Care: Improve HIV health outcomes through ensuring universal access to quality treatment, care and support</w:t>
            </w:r>
          </w:p>
        </w:tc>
        <w:tc>
          <w:tcPr>
            <w:tcW w:w="1397" w:type="dxa"/>
            <w:tcBorders>
              <w:top w:val="nil"/>
              <w:left w:val="nil"/>
              <w:bottom w:val="single" w:sz="4" w:space="0" w:color="auto"/>
              <w:right w:val="single" w:sz="4" w:space="0" w:color="auto"/>
            </w:tcBorders>
            <w:shd w:val="clear" w:color="000000" w:fill="305496"/>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55" w:type="dxa"/>
            <w:tcBorders>
              <w:top w:val="nil"/>
              <w:left w:val="nil"/>
              <w:bottom w:val="single" w:sz="4" w:space="0" w:color="auto"/>
              <w:right w:val="single" w:sz="4" w:space="0" w:color="auto"/>
            </w:tcBorders>
            <w:shd w:val="clear" w:color="000000" w:fill="305496"/>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792" w:type="dxa"/>
            <w:tcBorders>
              <w:top w:val="nil"/>
              <w:left w:val="nil"/>
              <w:bottom w:val="single" w:sz="4" w:space="0" w:color="auto"/>
              <w:right w:val="single" w:sz="4" w:space="0" w:color="auto"/>
            </w:tcBorders>
            <w:shd w:val="clear" w:color="000000" w:fill="305496"/>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809" w:type="dxa"/>
            <w:tcBorders>
              <w:top w:val="nil"/>
              <w:left w:val="nil"/>
              <w:bottom w:val="single" w:sz="4" w:space="0" w:color="auto"/>
              <w:right w:val="single" w:sz="4" w:space="0" w:color="auto"/>
            </w:tcBorders>
            <w:shd w:val="clear" w:color="000000" w:fill="305496"/>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809" w:type="dxa"/>
            <w:tcBorders>
              <w:top w:val="nil"/>
              <w:left w:val="nil"/>
              <w:bottom w:val="single" w:sz="4" w:space="0" w:color="auto"/>
              <w:right w:val="single" w:sz="4" w:space="0" w:color="auto"/>
            </w:tcBorders>
            <w:shd w:val="clear" w:color="000000" w:fill="305496"/>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20" w:type="dxa"/>
            <w:tcBorders>
              <w:top w:val="nil"/>
              <w:left w:val="nil"/>
              <w:bottom w:val="single" w:sz="4" w:space="0" w:color="auto"/>
              <w:right w:val="single" w:sz="4" w:space="0" w:color="auto"/>
            </w:tcBorders>
            <w:shd w:val="clear" w:color="000000" w:fill="305496"/>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80" w:type="dxa"/>
            <w:tcBorders>
              <w:top w:val="nil"/>
              <w:left w:val="nil"/>
              <w:bottom w:val="single" w:sz="4" w:space="0" w:color="auto"/>
              <w:right w:val="single" w:sz="4" w:space="0" w:color="auto"/>
            </w:tcBorders>
            <w:shd w:val="clear" w:color="000000" w:fill="305496"/>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661" w:type="dxa"/>
            <w:tcBorders>
              <w:top w:val="nil"/>
              <w:left w:val="nil"/>
              <w:bottom w:val="single" w:sz="4" w:space="0" w:color="auto"/>
              <w:right w:val="single" w:sz="4" w:space="0" w:color="auto"/>
            </w:tcBorders>
            <w:shd w:val="clear" w:color="000000" w:fill="305496"/>
            <w:noWrap/>
            <w:vAlign w:val="bottom"/>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r>
      <w:tr w:rsidR="00C0455B" w:rsidTr="007861E0">
        <w:trPr>
          <w:trHeight w:val="32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3885" w:type="dxa"/>
            <w:tcBorders>
              <w:top w:val="nil"/>
              <w:left w:val="nil"/>
              <w:bottom w:val="single" w:sz="4" w:space="0" w:color="auto"/>
              <w:right w:val="single" w:sz="4" w:space="0" w:color="auto"/>
            </w:tcBorders>
            <w:shd w:val="clear" w:color="000000" w:fill="DDEBF7"/>
            <w:vAlign w:val="bottom"/>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Ensure uninterrupted delivery of high-quality treatment and care</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Cov.45</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Number of adults and children currently receiving antiretroviral therapy </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xml:space="preserve">4144 including Abkhazia </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 National AIDS HIS</w:t>
            </w:r>
          </w:p>
        </w:tc>
        <w:tc>
          <w:tcPr>
            <w:tcW w:w="809"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 xml:space="preserve">           6,100 </w:t>
            </w:r>
          </w:p>
        </w:tc>
        <w:tc>
          <w:tcPr>
            <w:tcW w:w="809"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 xml:space="preserve">            7,400 </w:t>
            </w:r>
          </w:p>
        </w:tc>
        <w:tc>
          <w:tcPr>
            <w:tcW w:w="1120"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 xml:space="preserve">           8,600 </w:t>
            </w:r>
          </w:p>
        </w:tc>
        <w:tc>
          <w:tcPr>
            <w:tcW w:w="1180"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 xml:space="preserve">            9,900 </w:t>
            </w:r>
          </w:p>
        </w:tc>
        <w:tc>
          <w:tcPr>
            <w:tcW w:w="1661"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National AIDS Health Information System Routine monitoring data</w:t>
            </w:r>
          </w:p>
        </w:tc>
      </w:tr>
      <w:tr w:rsidR="00C0455B" w:rsidTr="007861E0">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Cov.46</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adults and children diagnosed with HIV receiving antiretroviral therapy at the end of the reporting period.</w:t>
            </w:r>
          </w:p>
        </w:tc>
        <w:tc>
          <w:tcPr>
            <w:tcW w:w="1397"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81%</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 National AIDS HIS</w:t>
            </w:r>
          </w:p>
        </w:tc>
        <w:tc>
          <w:tcPr>
            <w:tcW w:w="809"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90%</w:t>
            </w:r>
          </w:p>
        </w:tc>
        <w:tc>
          <w:tcPr>
            <w:tcW w:w="809"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90%</w:t>
            </w:r>
          </w:p>
        </w:tc>
        <w:tc>
          <w:tcPr>
            <w:tcW w:w="1120"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90%</w:t>
            </w:r>
          </w:p>
        </w:tc>
        <w:tc>
          <w:tcPr>
            <w:tcW w:w="1180"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90%</w:t>
            </w:r>
          </w:p>
        </w:tc>
        <w:tc>
          <w:tcPr>
            <w:tcW w:w="1661"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National AIDS Health Information System Routine monitoring data</w:t>
            </w:r>
          </w:p>
        </w:tc>
      </w:tr>
      <w:tr w:rsidR="00C0455B" w:rsidTr="007861E0">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lastRenderedPageBreak/>
              <w:t>Cov.47</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Percentage of people on ART who are virologically suppressed (VL) with VL level ≤ 1000 copies/ml </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89%</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 National AIDS HIS</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90%</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90%</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90%</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90%</w:t>
            </w:r>
          </w:p>
        </w:tc>
        <w:tc>
          <w:tcPr>
            <w:tcW w:w="1661"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Routine monitoring data/ National AIDS HIS</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Cov.48</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 xml:space="preserve">Percentage of healthcare facilities reporting no stock-outs of ARV medicines </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100%</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2017</w:t>
            </w:r>
          </w:p>
        </w:tc>
        <w:tc>
          <w:tcPr>
            <w:tcW w:w="1792"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100%</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100%</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100%</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3885" w:type="dxa"/>
            <w:tcBorders>
              <w:top w:val="nil"/>
              <w:left w:val="nil"/>
              <w:bottom w:val="single" w:sz="4" w:space="0" w:color="auto"/>
              <w:right w:val="single" w:sz="4" w:space="0" w:color="auto"/>
            </w:tcBorders>
            <w:shd w:val="clear" w:color="000000" w:fill="DDEBF7"/>
            <w:vAlign w:val="bottom"/>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Reduce morbidity and mortality due to TB and HCV co-infections and injecting drug use</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Cov.49</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Percentage of estimated HIV-positive incident TB cases that received treatment for both TB and HIV</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92%</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2016</w:t>
            </w:r>
          </w:p>
        </w:tc>
        <w:tc>
          <w:tcPr>
            <w:tcW w:w="1792"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&gt;90%</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&gt;90%</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&gt;90%</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&gt;90%</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Routine monitoring data</w:t>
            </w:r>
          </w:p>
        </w:tc>
      </w:tr>
      <w:tr w:rsidR="00C0455B" w:rsidTr="007861E0">
        <w:trPr>
          <w:trHeight w:val="32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3885" w:type="dxa"/>
            <w:tcBorders>
              <w:top w:val="nil"/>
              <w:left w:val="nil"/>
              <w:bottom w:val="single" w:sz="4" w:space="0" w:color="auto"/>
              <w:right w:val="single" w:sz="4" w:space="0" w:color="auto"/>
            </w:tcBorders>
            <w:shd w:val="clear" w:color="000000" w:fill="DDEBF7"/>
            <w:vAlign w:val="bottom"/>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Ensure provision of care and support services for PLHIV</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Cov.50</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Number of People living with or affected by HIV reached with community care and support services in community settings</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1,578</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2017</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Program data</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1,700</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1,900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2,100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2,300</w:t>
            </w:r>
          </w:p>
        </w:tc>
        <w:tc>
          <w:tcPr>
            <w:tcW w:w="1661"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Program data</w:t>
            </w:r>
          </w:p>
        </w:tc>
      </w:tr>
      <w:tr w:rsidR="00C0455B" w:rsidTr="007861E0">
        <w:trPr>
          <w:trHeight w:val="1200"/>
        </w:trPr>
        <w:tc>
          <w:tcPr>
            <w:tcW w:w="788" w:type="dxa"/>
            <w:tcBorders>
              <w:top w:val="nil"/>
              <w:left w:val="single" w:sz="4" w:space="0" w:color="auto"/>
              <w:bottom w:val="single" w:sz="4" w:space="0" w:color="auto"/>
              <w:right w:val="single" w:sz="4" w:space="0" w:color="auto"/>
            </w:tcBorders>
            <w:shd w:val="clear" w:color="000000" w:fill="2F75B5"/>
            <w:noWrap/>
            <w:vAlign w:val="bottom"/>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SO 3</w:t>
            </w:r>
          </w:p>
        </w:tc>
        <w:tc>
          <w:tcPr>
            <w:tcW w:w="3885" w:type="dxa"/>
            <w:tcBorders>
              <w:top w:val="nil"/>
              <w:left w:val="nil"/>
              <w:bottom w:val="single" w:sz="4" w:space="0" w:color="auto"/>
              <w:right w:val="single" w:sz="4" w:space="0" w:color="auto"/>
            </w:tcBorders>
            <w:shd w:val="clear" w:color="000000" w:fill="2F75B5"/>
            <w:vAlign w:val="bottom"/>
            <w:hideMark/>
          </w:tcPr>
          <w:p w:rsidR="00EB7A51" w:rsidRPr="00EB7A51" w:rsidRDefault="00F83AE0" w:rsidP="00EB7A51">
            <w:pPr>
              <w:rPr>
                <w:rFonts w:ascii="Calibri" w:hAnsi="Calibri"/>
                <w:b/>
                <w:bCs/>
                <w:color w:val="FFFFFF"/>
                <w:sz w:val="18"/>
                <w:szCs w:val="18"/>
              </w:rPr>
            </w:pPr>
            <w:r w:rsidRPr="00EB7A51">
              <w:rPr>
                <w:rFonts w:ascii="Calibri" w:hAnsi="Calibri"/>
                <w:b/>
                <w:bCs/>
                <w:color w:val="FFFFFF"/>
                <w:sz w:val="18"/>
                <w:szCs w:val="18"/>
              </w:rPr>
              <w:t xml:space="preserve">Governance and Policy development: Ensure sustainability of response to the epidemic through enhanced government commitment, enabling legislative and operational environment, and greater involvement of civil society. </w:t>
            </w:r>
          </w:p>
        </w:tc>
        <w:tc>
          <w:tcPr>
            <w:tcW w:w="1397"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55"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792"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809"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809"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20"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180" w:type="dxa"/>
            <w:tcBorders>
              <w:top w:val="nil"/>
              <w:left w:val="nil"/>
              <w:bottom w:val="single" w:sz="4" w:space="0" w:color="auto"/>
              <w:right w:val="single" w:sz="4" w:space="0" w:color="auto"/>
            </w:tcBorders>
            <w:shd w:val="clear" w:color="000000" w:fill="2F75B5"/>
            <w:noWrap/>
            <w:vAlign w:val="center"/>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c>
          <w:tcPr>
            <w:tcW w:w="1661" w:type="dxa"/>
            <w:tcBorders>
              <w:top w:val="nil"/>
              <w:left w:val="nil"/>
              <w:bottom w:val="single" w:sz="4" w:space="0" w:color="auto"/>
              <w:right w:val="single" w:sz="4" w:space="0" w:color="auto"/>
            </w:tcBorders>
            <w:shd w:val="clear" w:color="000000" w:fill="2F75B5"/>
            <w:noWrap/>
            <w:vAlign w:val="bottom"/>
            <w:hideMark/>
          </w:tcPr>
          <w:p w:rsidR="00EB7A51" w:rsidRPr="00EB7A51" w:rsidRDefault="00F83AE0" w:rsidP="00EB7A51">
            <w:pPr>
              <w:jc w:val="center"/>
              <w:rPr>
                <w:rFonts w:ascii="Calibri" w:hAnsi="Calibri"/>
                <w:b/>
                <w:bCs/>
                <w:color w:val="FFFFFF"/>
                <w:sz w:val="18"/>
                <w:szCs w:val="18"/>
              </w:rPr>
            </w:pPr>
            <w:r w:rsidRPr="00EB7A51">
              <w:rPr>
                <w:rFonts w:ascii="Calibri" w:hAnsi="Calibri"/>
                <w:b/>
                <w:bCs/>
                <w:color w:val="FFFFFF"/>
                <w:sz w:val="18"/>
                <w:szCs w:val="18"/>
              </w:rPr>
              <w:t> </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3885" w:type="dxa"/>
            <w:tcBorders>
              <w:top w:val="nil"/>
              <w:left w:val="nil"/>
              <w:bottom w:val="single" w:sz="4" w:space="0" w:color="auto"/>
              <w:right w:val="single" w:sz="4" w:space="0" w:color="auto"/>
            </w:tcBorders>
            <w:shd w:val="clear" w:color="000000" w:fill="DDEBF7"/>
            <w:vAlign w:val="bottom"/>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Create Conducive legal environment for HIV response</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12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sz w:val="18"/>
                <w:szCs w:val="18"/>
              </w:rPr>
            </w:pPr>
            <w:r w:rsidRPr="00EB7A51">
              <w:rPr>
                <w:rFonts w:ascii="Calibri" w:hAnsi="Calibri"/>
                <w:sz w:val="18"/>
                <w:szCs w:val="18"/>
              </w:rPr>
              <w:t>G&amp;P.51</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 xml:space="preserve">Georgian Criminal Code and Administrative Offences Code,  Georgia Framework Law on Drugs, Psychotropic Substances, Precursors and Narcological Aids - revised; amendments adopted to remove barriers to HIV&amp; harm reduction services </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auto" w:fill="auto"/>
            <w:noWrap/>
            <w:hideMark/>
          </w:tcPr>
          <w:p w:rsidR="00EB7A51" w:rsidRPr="00EB7A51" w:rsidRDefault="00F83AE0" w:rsidP="00EB7A51">
            <w:pPr>
              <w:jc w:val="center"/>
              <w:rPr>
                <w:rFonts w:ascii="Calibri" w:hAnsi="Calibri"/>
                <w:sz w:val="18"/>
                <w:szCs w:val="18"/>
              </w:rPr>
            </w:pPr>
            <w:r w:rsidRPr="00EB7A51">
              <w:rPr>
                <w:rFonts w:ascii="Calibri" w:hAnsi="Calibri"/>
                <w:sz w:val="18"/>
                <w:szCs w:val="18"/>
              </w:rPr>
              <w:t>Matsne.gov.ge</w:t>
            </w:r>
          </w:p>
        </w:tc>
      </w:tr>
      <w:tr w:rsidR="00C0455B" w:rsidTr="007861E0">
        <w:trPr>
          <w:trHeight w:val="84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G&amp;P.52</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The 4-pillar Drug Policy, Anti-drug strategy and 3-year Action Plan developed and approved by the Government </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Drug Policy; Anti-drug Strategy; Action Plan; Government resolution</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lastRenderedPageBreak/>
              <w:t>G&amp;P.53</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Review HIV/AIDS State Law; development and adoption of corresponding bylaws</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noWrap/>
            <w:hideMark/>
          </w:tcPr>
          <w:p w:rsidR="00EB7A51" w:rsidRPr="00EB7A51" w:rsidRDefault="00F83AE0" w:rsidP="00EB7A51">
            <w:pPr>
              <w:jc w:val="center"/>
              <w:rPr>
                <w:rFonts w:ascii="Calibri" w:hAnsi="Calibri"/>
                <w:sz w:val="18"/>
                <w:szCs w:val="18"/>
              </w:rPr>
            </w:pPr>
            <w:r w:rsidRPr="00EB7A51">
              <w:rPr>
                <w:rFonts w:ascii="Calibri" w:hAnsi="Calibri"/>
                <w:sz w:val="18"/>
                <w:szCs w:val="18"/>
              </w:rPr>
              <w:t>Matsne.gov.ge</w:t>
            </w:r>
          </w:p>
        </w:tc>
      </w:tr>
      <w:tr w:rsidR="00C0455B" w:rsidTr="007861E0">
        <w:trPr>
          <w:trHeight w:val="9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3885" w:type="dxa"/>
            <w:tcBorders>
              <w:top w:val="nil"/>
              <w:left w:val="nil"/>
              <w:bottom w:val="single" w:sz="4" w:space="0" w:color="auto"/>
              <w:right w:val="single" w:sz="4" w:space="0" w:color="auto"/>
            </w:tcBorders>
            <w:shd w:val="clear" w:color="000000" w:fill="DDEBF7"/>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Review State Procurement Law and relevant regulations to identify potential barriers for non-state actors, including community-based organizations to deliver HIV services under the state funding</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9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G&amp;P.54</w:t>
            </w:r>
          </w:p>
        </w:tc>
        <w:tc>
          <w:tcPr>
            <w:tcW w:w="3885"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Barriers and opportunities for  CSOs/CBOs to satisfy the state procurement requirements identified </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Report outlining barriers and capacity of CSOs for participating in state tenders</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G&amp;P.55</w:t>
            </w:r>
          </w:p>
        </w:tc>
        <w:tc>
          <w:tcPr>
            <w:tcW w:w="3885"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Detailed operational manual to support CSOs participation in state tendering developed</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Operational manual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3885" w:type="dxa"/>
            <w:tcBorders>
              <w:top w:val="nil"/>
              <w:left w:val="nil"/>
              <w:bottom w:val="single" w:sz="4" w:space="0" w:color="auto"/>
              <w:right w:val="single" w:sz="4" w:space="0" w:color="auto"/>
            </w:tcBorders>
            <w:shd w:val="clear" w:color="000000" w:fill="DDEBF7"/>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Development and implementation of stigma reduction activities by PLHIV organizations and KAP networks</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G&amp;P.56</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Percentage of women and men aged 15-49 expressing accepting attitudes</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TBD</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xml:space="preserve">MICS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TBD</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TBD</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MICS report</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3885" w:type="dxa"/>
            <w:tcBorders>
              <w:top w:val="nil"/>
              <w:left w:val="nil"/>
              <w:bottom w:val="single" w:sz="4" w:space="0" w:color="auto"/>
              <w:right w:val="single" w:sz="4" w:space="0" w:color="auto"/>
            </w:tcBorders>
            <w:shd w:val="clear" w:color="000000" w:fill="DDEBF7"/>
            <w:vAlign w:val="bottom"/>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Ensure adequacy of state budget allocations for HIV prevention and treatment to sustain and scale-up the national response</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C000"/>
            <w:noWrap/>
            <w:vAlign w:val="bottom"/>
            <w:hideMark/>
          </w:tcPr>
          <w:p w:rsidR="00EB7A51" w:rsidRPr="00CD4D6A" w:rsidRDefault="00F83AE0" w:rsidP="00EB7A51">
            <w:pPr>
              <w:jc w:val="center"/>
              <w:rPr>
                <w:rFonts w:ascii="Calibri" w:hAnsi="Calibri"/>
                <w:color w:val="000000"/>
                <w:sz w:val="18"/>
                <w:szCs w:val="18"/>
              </w:rPr>
            </w:pPr>
            <w:r w:rsidRPr="00CD4D6A">
              <w:rPr>
                <w:rFonts w:ascii="Calibri" w:hAnsi="Calibri"/>
                <w:color w:val="000000"/>
                <w:sz w:val="18"/>
                <w:szCs w:val="18"/>
              </w:rPr>
              <w:t>Fin.57</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The share of public spending out of the total spending for HIV national response</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76%</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2018</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r w:rsidR="00CD4D6A">
              <w:rPr>
                <w:rFonts w:ascii="Calibri" w:hAnsi="Calibri"/>
                <w:color w:val="000000"/>
                <w:sz w:val="18"/>
                <w:szCs w:val="18"/>
              </w:rPr>
              <w:t>NSP Budget</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CD4D6A" w:rsidP="00EB7A51">
            <w:pPr>
              <w:jc w:val="center"/>
              <w:rPr>
                <w:rFonts w:ascii="Calibri" w:hAnsi="Calibri"/>
                <w:color w:val="000000"/>
                <w:sz w:val="18"/>
                <w:szCs w:val="18"/>
              </w:rPr>
            </w:pPr>
            <w:r>
              <w:rPr>
                <w:rFonts w:ascii="Calibri" w:hAnsi="Calibri"/>
                <w:color w:val="000000"/>
                <w:sz w:val="18"/>
                <w:szCs w:val="18"/>
              </w:rPr>
              <w:t>79%</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CD4D6A" w:rsidP="00EB7A51">
            <w:pPr>
              <w:jc w:val="center"/>
              <w:rPr>
                <w:rFonts w:ascii="Calibri" w:hAnsi="Calibri"/>
                <w:color w:val="000000"/>
                <w:sz w:val="18"/>
                <w:szCs w:val="18"/>
              </w:rPr>
            </w:pPr>
            <w:r>
              <w:rPr>
                <w:rFonts w:ascii="Calibri" w:hAnsi="Calibri"/>
                <w:color w:val="000000"/>
                <w:sz w:val="18"/>
                <w:szCs w:val="18"/>
              </w:rPr>
              <w:t>85%</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CD4D6A">
            <w:pPr>
              <w:jc w:val="center"/>
              <w:rPr>
                <w:rFonts w:ascii="Calibri" w:hAnsi="Calibri"/>
                <w:color w:val="000000"/>
                <w:sz w:val="18"/>
                <w:szCs w:val="18"/>
              </w:rPr>
            </w:pPr>
            <w:r w:rsidRPr="00EB7A51">
              <w:rPr>
                <w:rFonts w:ascii="Calibri" w:hAnsi="Calibri"/>
                <w:color w:val="000000"/>
                <w:sz w:val="18"/>
                <w:szCs w:val="18"/>
              </w:rPr>
              <w:t>8</w:t>
            </w:r>
            <w:r w:rsidR="00CD4D6A">
              <w:rPr>
                <w:rFonts w:ascii="Calibri" w:hAnsi="Calibri"/>
                <w:color w:val="000000"/>
                <w:sz w:val="18"/>
                <w:szCs w:val="18"/>
              </w:rPr>
              <w:t>7</w:t>
            </w:r>
            <w:r w:rsidRPr="00EB7A51">
              <w:rPr>
                <w:rFonts w:ascii="Calibri" w:hAnsi="Calibri"/>
                <w:color w:val="000000"/>
                <w:sz w:val="18"/>
                <w:szCs w:val="18"/>
              </w:rPr>
              <w:t>%</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CD4D6A" w:rsidP="00EB7A51">
            <w:pPr>
              <w:jc w:val="center"/>
              <w:rPr>
                <w:rFonts w:ascii="Calibri" w:hAnsi="Calibri"/>
                <w:color w:val="000000"/>
                <w:sz w:val="18"/>
                <w:szCs w:val="18"/>
              </w:rPr>
            </w:pPr>
            <w:r>
              <w:rPr>
                <w:rFonts w:ascii="Calibri" w:hAnsi="Calibri"/>
                <w:color w:val="000000"/>
                <w:sz w:val="18"/>
                <w:szCs w:val="18"/>
              </w:rPr>
              <w:t>90%</w:t>
            </w:r>
          </w:p>
        </w:tc>
        <w:tc>
          <w:tcPr>
            <w:tcW w:w="1661"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HIV/AIDS Spending data</w:t>
            </w:r>
          </w:p>
        </w:tc>
      </w:tr>
      <w:tr w:rsidR="00C0455B" w:rsidTr="007861E0">
        <w:trPr>
          <w:trHeight w:val="320"/>
        </w:trPr>
        <w:tc>
          <w:tcPr>
            <w:tcW w:w="788" w:type="dxa"/>
            <w:tcBorders>
              <w:top w:val="nil"/>
              <w:left w:val="single" w:sz="4" w:space="0" w:color="auto"/>
              <w:bottom w:val="single" w:sz="4" w:space="0" w:color="auto"/>
              <w:right w:val="single" w:sz="4" w:space="0" w:color="auto"/>
            </w:tcBorders>
            <w:shd w:val="clear" w:color="000000" w:fill="FFC000"/>
            <w:noWrap/>
            <w:vAlign w:val="bottom"/>
            <w:hideMark/>
          </w:tcPr>
          <w:p w:rsidR="00EB7A51" w:rsidRPr="00CD4D6A" w:rsidRDefault="00F83AE0" w:rsidP="00EB7A51">
            <w:pPr>
              <w:jc w:val="center"/>
              <w:rPr>
                <w:rFonts w:ascii="Calibri" w:hAnsi="Calibri"/>
                <w:color w:val="000000"/>
                <w:sz w:val="18"/>
                <w:szCs w:val="18"/>
              </w:rPr>
            </w:pPr>
            <w:r w:rsidRPr="00CD4D6A">
              <w:rPr>
                <w:rFonts w:ascii="Calibri" w:hAnsi="Calibri"/>
                <w:color w:val="000000"/>
                <w:sz w:val="18"/>
                <w:szCs w:val="18"/>
              </w:rPr>
              <w:t>Fin.58</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 of public spending on HIV targeting KAPs </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xml:space="preserve">               1,900,000 </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10%</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900"/>
        </w:trPr>
        <w:tc>
          <w:tcPr>
            <w:tcW w:w="788" w:type="dxa"/>
            <w:tcBorders>
              <w:top w:val="nil"/>
              <w:left w:val="single" w:sz="4" w:space="0" w:color="auto"/>
              <w:bottom w:val="single" w:sz="4" w:space="0" w:color="auto"/>
              <w:right w:val="single" w:sz="4" w:space="0" w:color="auto"/>
            </w:tcBorders>
            <w:shd w:val="clear" w:color="000000" w:fill="FFC000"/>
            <w:noWrap/>
            <w:vAlign w:val="bottom"/>
            <w:hideMark/>
          </w:tcPr>
          <w:p w:rsidR="00EB7A51" w:rsidRPr="00CD4D6A" w:rsidRDefault="00F83AE0" w:rsidP="00EB7A51">
            <w:pPr>
              <w:jc w:val="center"/>
              <w:rPr>
                <w:rFonts w:ascii="Calibri" w:hAnsi="Calibri"/>
                <w:color w:val="000000"/>
                <w:sz w:val="18"/>
                <w:szCs w:val="18"/>
              </w:rPr>
            </w:pPr>
            <w:r w:rsidRPr="00CD4D6A">
              <w:rPr>
                <w:rFonts w:ascii="Calibri" w:hAnsi="Calibri"/>
                <w:color w:val="000000"/>
                <w:sz w:val="18"/>
                <w:szCs w:val="18"/>
              </w:rPr>
              <w:t>Fin.59</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The total allocation of public funding through contracting non-sate actors to deliver HIV prevention services, including low threshold harm reduction and community support services</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661" w:type="dxa"/>
            <w:vMerge w:val="restart"/>
            <w:tcBorders>
              <w:top w:val="nil"/>
              <w:left w:val="single" w:sz="4" w:space="0" w:color="auto"/>
              <w:bottom w:val="single" w:sz="4" w:space="0" w:color="auto"/>
              <w:right w:val="single" w:sz="4" w:space="0" w:color="auto"/>
            </w:tcBorders>
            <w:shd w:val="clear" w:color="auto" w:fill="auto"/>
            <w:vAlign w:val="center"/>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Program Budgets; AIDS spending data ; Global AIDS Monitoring reports/Funding Matrix</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C000"/>
            <w:noWrap/>
            <w:vAlign w:val="bottom"/>
            <w:hideMark/>
          </w:tcPr>
          <w:p w:rsidR="00EB7A51" w:rsidRPr="00CD4D6A" w:rsidRDefault="00F83AE0" w:rsidP="00EB7A51">
            <w:pPr>
              <w:jc w:val="center"/>
              <w:rPr>
                <w:rFonts w:ascii="Calibri" w:hAnsi="Calibri"/>
                <w:color w:val="000000"/>
                <w:sz w:val="18"/>
                <w:szCs w:val="18"/>
              </w:rPr>
            </w:pPr>
            <w:r w:rsidRPr="00CD4D6A">
              <w:rPr>
                <w:rFonts w:ascii="Calibri" w:hAnsi="Calibri"/>
                <w:color w:val="000000"/>
                <w:sz w:val="18"/>
                <w:szCs w:val="18"/>
              </w:rPr>
              <w:t>Fin.60</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Total public funding for HIV prevention services targeting FSWs</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xml:space="preserve"> $              8,169.00 </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2018</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HIV NSP 2016-2018</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661" w:type="dxa"/>
            <w:vMerge/>
            <w:tcBorders>
              <w:top w:val="nil"/>
              <w:left w:val="single" w:sz="4" w:space="0" w:color="auto"/>
              <w:bottom w:val="single" w:sz="4" w:space="0" w:color="auto"/>
              <w:right w:val="single" w:sz="4" w:space="0" w:color="auto"/>
            </w:tcBorders>
            <w:vAlign w:val="center"/>
            <w:hideMark/>
          </w:tcPr>
          <w:p w:rsidR="00EB7A51" w:rsidRPr="00EB7A51" w:rsidRDefault="00EB7A51" w:rsidP="00EB7A51">
            <w:pPr>
              <w:rPr>
                <w:rFonts w:ascii="Calibri" w:hAnsi="Calibri"/>
                <w:color w:val="000000"/>
                <w:sz w:val="18"/>
                <w:szCs w:val="18"/>
              </w:rPr>
            </w:pP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C000"/>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lastRenderedPageBreak/>
              <w:t>Fin.61</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Total public funding for HIV prevention services targeting MSM</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xml:space="preserve"> $              5,783.00 </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2018</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HIV NSP 2016-2018</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661" w:type="dxa"/>
            <w:vMerge/>
            <w:tcBorders>
              <w:top w:val="nil"/>
              <w:left w:val="single" w:sz="4" w:space="0" w:color="auto"/>
              <w:bottom w:val="single" w:sz="4" w:space="0" w:color="auto"/>
              <w:right w:val="single" w:sz="4" w:space="0" w:color="auto"/>
            </w:tcBorders>
            <w:vAlign w:val="center"/>
            <w:hideMark/>
          </w:tcPr>
          <w:p w:rsidR="00EB7A51" w:rsidRPr="00EB7A51" w:rsidRDefault="00EB7A51" w:rsidP="00EB7A51">
            <w:pPr>
              <w:rPr>
                <w:rFonts w:ascii="Calibri" w:hAnsi="Calibri"/>
                <w:color w:val="000000"/>
                <w:sz w:val="18"/>
                <w:szCs w:val="18"/>
              </w:rPr>
            </w:pP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C000"/>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Fin.62</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Total public funding for HIV prevention services targeting PWIDs (excluding OST)</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xml:space="preserve"> $           56,585.00 </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2018</w:t>
            </w:r>
          </w:p>
        </w:tc>
        <w:tc>
          <w:tcPr>
            <w:tcW w:w="1792" w:type="dxa"/>
            <w:tcBorders>
              <w:top w:val="nil"/>
              <w:left w:val="nil"/>
              <w:bottom w:val="single" w:sz="4" w:space="0" w:color="auto"/>
              <w:right w:val="single" w:sz="4" w:space="0" w:color="auto"/>
            </w:tcBorders>
            <w:shd w:val="clear" w:color="000000" w:fill="FFFFFF"/>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HIV NSP 2016-2018</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TBD</w:t>
            </w:r>
          </w:p>
        </w:tc>
        <w:tc>
          <w:tcPr>
            <w:tcW w:w="1661" w:type="dxa"/>
            <w:vMerge/>
            <w:tcBorders>
              <w:top w:val="nil"/>
              <w:left w:val="single" w:sz="4" w:space="0" w:color="auto"/>
              <w:bottom w:val="single" w:sz="4" w:space="0" w:color="auto"/>
              <w:right w:val="single" w:sz="4" w:space="0" w:color="auto"/>
            </w:tcBorders>
            <w:vAlign w:val="center"/>
            <w:hideMark/>
          </w:tcPr>
          <w:p w:rsidR="00EB7A51" w:rsidRPr="00EB7A51" w:rsidRDefault="00EB7A51" w:rsidP="00EB7A51">
            <w:pPr>
              <w:rPr>
                <w:rFonts w:ascii="Calibri" w:hAnsi="Calibri"/>
                <w:color w:val="000000"/>
                <w:sz w:val="18"/>
                <w:szCs w:val="18"/>
              </w:rPr>
            </w:pP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C000"/>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Fin.63</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The share of public spending out of the total spending on IBBSs &amp; PSE among KAPs (%)</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50%</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70%</w:t>
            </w:r>
          </w:p>
        </w:tc>
        <w:tc>
          <w:tcPr>
            <w:tcW w:w="1661" w:type="dxa"/>
            <w:vMerge/>
            <w:tcBorders>
              <w:top w:val="nil"/>
              <w:left w:val="single" w:sz="4" w:space="0" w:color="auto"/>
              <w:bottom w:val="single" w:sz="4" w:space="0" w:color="auto"/>
              <w:right w:val="single" w:sz="4" w:space="0" w:color="auto"/>
            </w:tcBorders>
            <w:vAlign w:val="center"/>
            <w:hideMark/>
          </w:tcPr>
          <w:p w:rsidR="00EB7A51" w:rsidRPr="00EB7A51" w:rsidRDefault="00EB7A51" w:rsidP="00EB7A51">
            <w:pPr>
              <w:rPr>
                <w:rFonts w:ascii="Calibri" w:hAnsi="Calibri"/>
                <w:color w:val="000000"/>
                <w:sz w:val="18"/>
                <w:szCs w:val="18"/>
              </w:rPr>
            </w:pPr>
          </w:p>
        </w:tc>
      </w:tr>
      <w:tr w:rsidR="00C0455B" w:rsidTr="007861E0">
        <w:trPr>
          <w:trHeight w:val="900"/>
        </w:trPr>
        <w:tc>
          <w:tcPr>
            <w:tcW w:w="788" w:type="dxa"/>
            <w:tcBorders>
              <w:top w:val="nil"/>
              <w:left w:val="single" w:sz="4" w:space="0" w:color="auto"/>
              <w:bottom w:val="single" w:sz="4" w:space="0" w:color="auto"/>
              <w:right w:val="single" w:sz="4" w:space="0" w:color="auto"/>
            </w:tcBorders>
            <w:shd w:val="clear" w:color="000000" w:fill="FFC000"/>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Fin.64</w:t>
            </w:r>
          </w:p>
        </w:tc>
        <w:tc>
          <w:tcPr>
            <w:tcW w:w="3885"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Analyzing data on AIDS spending by each KAP to assess the allocative efficiency</w:t>
            </w:r>
          </w:p>
        </w:tc>
        <w:tc>
          <w:tcPr>
            <w:tcW w:w="1397"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661"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AIDS spending annual report, which includes the section on allocative efficiency</w:t>
            </w:r>
          </w:p>
        </w:tc>
      </w:tr>
      <w:tr w:rsidR="00C0455B" w:rsidTr="007861E0">
        <w:trPr>
          <w:trHeight w:val="32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3885" w:type="dxa"/>
            <w:tcBorders>
              <w:top w:val="nil"/>
              <w:left w:val="nil"/>
              <w:bottom w:val="single" w:sz="4" w:space="0" w:color="auto"/>
              <w:right w:val="single" w:sz="4" w:space="0" w:color="auto"/>
            </w:tcBorders>
            <w:shd w:val="clear" w:color="000000" w:fill="DDEBF7"/>
            <w:vAlign w:val="bottom"/>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Generate evidence for informed decision making</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3885" w:type="dxa"/>
            <w:tcBorders>
              <w:top w:val="nil"/>
              <w:left w:val="nil"/>
              <w:bottom w:val="single" w:sz="4" w:space="0" w:color="auto"/>
              <w:right w:val="single" w:sz="4" w:space="0" w:color="auto"/>
            </w:tcBorders>
            <w:shd w:val="clear" w:color="000000" w:fill="DDEBF7"/>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Integrated bio-behavioral surveillance studies (IBBSS) among KAPs incorporating population size estimates</w:t>
            </w:r>
          </w:p>
        </w:tc>
        <w:tc>
          <w:tcPr>
            <w:tcW w:w="1397" w:type="dxa"/>
            <w:tcBorders>
              <w:top w:val="nil"/>
              <w:left w:val="nil"/>
              <w:bottom w:val="single" w:sz="4" w:space="0" w:color="auto"/>
              <w:right w:val="single" w:sz="4" w:space="0" w:color="auto"/>
            </w:tcBorders>
            <w:shd w:val="clear" w:color="000000" w:fill="DDEBF7"/>
            <w:vAlign w:val="center"/>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1155" w:type="dxa"/>
            <w:tcBorders>
              <w:top w:val="nil"/>
              <w:left w:val="nil"/>
              <w:bottom w:val="single" w:sz="4" w:space="0" w:color="auto"/>
              <w:right w:val="single" w:sz="4" w:space="0" w:color="auto"/>
            </w:tcBorders>
            <w:shd w:val="clear" w:color="000000" w:fill="DDEBF7"/>
            <w:vAlign w:val="center"/>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1792" w:type="dxa"/>
            <w:tcBorders>
              <w:top w:val="nil"/>
              <w:left w:val="nil"/>
              <w:bottom w:val="single" w:sz="4" w:space="0" w:color="auto"/>
              <w:right w:val="single" w:sz="4" w:space="0" w:color="auto"/>
            </w:tcBorders>
            <w:shd w:val="clear" w:color="000000" w:fill="DDEBF7"/>
            <w:vAlign w:val="center"/>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809" w:type="dxa"/>
            <w:tcBorders>
              <w:top w:val="nil"/>
              <w:left w:val="nil"/>
              <w:bottom w:val="single" w:sz="4" w:space="0" w:color="auto"/>
              <w:right w:val="single" w:sz="4" w:space="0" w:color="auto"/>
            </w:tcBorders>
            <w:shd w:val="clear" w:color="000000" w:fill="DDEBF7"/>
            <w:vAlign w:val="center"/>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809" w:type="dxa"/>
            <w:tcBorders>
              <w:top w:val="nil"/>
              <w:left w:val="nil"/>
              <w:bottom w:val="single" w:sz="4" w:space="0" w:color="auto"/>
              <w:right w:val="single" w:sz="4" w:space="0" w:color="auto"/>
            </w:tcBorders>
            <w:shd w:val="clear" w:color="000000" w:fill="DDEBF7"/>
            <w:vAlign w:val="center"/>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1120" w:type="dxa"/>
            <w:tcBorders>
              <w:top w:val="nil"/>
              <w:left w:val="nil"/>
              <w:bottom w:val="single" w:sz="4" w:space="0" w:color="auto"/>
              <w:right w:val="single" w:sz="4" w:space="0" w:color="auto"/>
            </w:tcBorders>
            <w:shd w:val="clear" w:color="000000" w:fill="DDEBF7"/>
            <w:vAlign w:val="center"/>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1180" w:type="dxa"/>
            <w:tcBorders>
              <w:top w:val="nil"/>
              <w:left w:val="nil"/>
              <w:bottom w:val="single" w:sz="4" w:space="0" w:color="auto"/>
              <w:right w:val="single" w:sz="4" w:space="0" w:color="auto"/>
            </w:tcBorders>
            <w:shd w:val="clear" w:color="000000" w:fill="DDEBF7"/>
            <w:vAlign w:val="center"/>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c>
          <w:tcPr>
            <w:tcW w:w="1661" w:type="dxa"/>
            <w:tcBorders>
              <w:top w:val="nil"/>
              <w:left w:val="nil"/>
              <w:bottom w:val="single" w:sz="4" w:space="0" w:color="auto"/>
              <w:right w:val="single" w:sz="4" w:space="0" w:color="auto"/>
            </w:tcBorders>
            <w:shd w:val="clear" w:color="000000" w:fill="DDEBF7"/>
            <w:hideMark/>
          </w:tcPr>
          <w:p w:rsidR="00EB7A51" w:rsidRPr="00EB7A51" w:rsidRDefault="00F83AE0" w:rsidP="00EB7A51">
            <w:pPr>
              <w:jc w:val="center"/>
              <w:rPr>
                <w:rFonts w:ascii="Calibri" w:hAnsi="Calibri"/>
                <w:b/>
                <w:bCs/>
                <w:color w:val="000000"/>
                <w:sz w:val="18"/>
                <w:szCs w:val="18"/>
              </w:rPr>
            </w:pPr>
            <w:r w:rsidRPr="00EB7A51">
              <w:rPr>
                <w:rFonts w:ascii="Calibri" w:hAnsi="Calibri"/>
                <w:b/>
                <w:bCs/>
                <w:color w:val="000000"/>
                <w:sz w:val="18"/>
                <w:szCs w:val="18"/>
              </w:rPr>
              <w:t> </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HIS.65</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IBBSS and PSE among PWIDs</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Research reports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HIS.66</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IBBSS and PSE for FSWs</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Research reports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HIS.67</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IBBS and PSE among MSM</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Research reports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HIS.68</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IBBS among prisoners</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Research reports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HIS.69</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HIV vulnerability and size estimation study among street children</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Research reports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HIS.70</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HIV vulnerability among the migrant population</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Research reports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HIS.71</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IBBSS among youth</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Research reports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3885" w:type="dxa"/>
            <w:tcBorders>
              <w:top w:val="nil"/>
              <w:left w:val="nil"/>
              <w:bottom w:val="single" w:sz="4" w:space="0" w:color="auto"/>
              <w:right w:val="single" w:sz="4" w:space="0" w:color="auto"/>
            </w:tcBorders>
            <w:shd w:val="clear" w:color="000000" w:fill="DDEBF7"/>
            <w:vAlign w:val="bottom"/>
            <w:hideMark/>
          </w:tcPr>
          <w:p w:rsidR="00EB7A51" w:rsidRPr="00EB7A51" w:rsidRDefault="00F83AE0" w:rsidP="00EB7A51">
            <w:pPr>
              <w:rPr>
                <w:rFonts w:ascii="Calibri" w:hAnsi="Calibri"/>
                <w:b/>
                <w:bCs/>
                <w:sz w:val="18"/>
                <w:szCs w:val="18"/>
              </w:rPr>
            </w:pPr>
            <w:r w:rsidRPr="00EB7A51">
              <w:rPr>
                <w:rFonts w:ascii="Calibri" w:hAnsi="Calibri"/>
                <w:b/>
                <w:bCs/>
                <w:sz w:val="18"/>
                <w:szCs w:val="18"/>
              </w:rPr>
              <w:t>Operational research</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Res.72</w:t>
            </w:r>
          </w:p>
        </w:tc>
        <w:tc>
          <w:tcPr>
            <w:tcW w:w="3885" w:type="dxa"/>
            <w:tcBorders>
              <w:top w:val="nil"/>
              <w:left w:val="nil"/>
              <w:bottom w:val="nil"/>
              <w:right w:val="nil"/>
            </w:tcBorders>
            <w:shd w:val="clear" w:color="auto" w:fill="auto"/>
            <w:noWrap/>
            <w:vAlign w:val="bottom"/>
            <w:hideMark/>
          </w:tcPr>
          <w:p w:rsidR="00EB7A51" w:rsidRPr="00EB7A51" w:rsidRDefault="00F83AE0" w:rsidP="00EB7A51">
            <w:pPr>
              <w:rPr>
                <w:rFonts w:ascii="Calibri" w:hAnsi="Calibri"/>
                <w:color w:val="222222"/>
                <w:sz w:val="18"/>
                <w:szCs w:val="18"/>
              </w:rPr>
            </w:pPr>
            <w:r w:rsidRPr="00EB7A51">
              <w:rPr>
                <w:rFonts w:ascii="Calibri" w:hAnsi="Calibri"/>
                <w:color w:val="222222"/>
                <w:sz w:val="18"/>
                <w:szCs w:val="18"/>
              </w:rPr>
              <w:t>Pre-treatment HIV drug resistance survey</w:t>
            </w:r>
          </w:p>
        </w:tc>
        <w:tc>
          <w:tcPr>
            <w:tcW w:w="1397" w:type="dxa"/>
            <w:tcBorders>
              <w:top w:val="nil"/>
              <w:left w:val="single" w:sz="4" w:space="0" w:color="auto"/>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Research reports</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Res.73</w:t>
            </w:r>
          </w:p>
        </w:tc>
        <w:tc>
          <w:tcPr>
            <w:tcW w:w="3885" w:type="dxa"/>
            <w:tcBorders>
              <w:top w:val="single" w:sz="4" w:space="0" w:color="auto"/>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 xml:space="preserve">Monitoring recent HIV infections using recent infection testing algorithm (RITA) </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Research reports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Res.74</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Assessing engagement in HIV care</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Research reports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Res.75</w:t>
            </w:r>
          </w:p>
        </w:tc>
        <w:tc>
          <w:tcPr>
            <w:tcW w:w="3885" w:type="dxa"/>
            <w:tcBorders>
              <w:top w:val="nil"/>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sz w:val="18"/>
                <w:szCs w:val="18"/>
              </w:rPr>
            </w:pPr>
            <w:r w:rsidRPr="00EB7A51">
              <w:rPr>
                <w:rFonts w:ascii="Calibri" w:hAnsi="Calibri"/>
                <w:sz w:val="18"/>
                <w:szCs w:val="18"/>
              </w:rPr>
              <w:t>Survey on health service accessibility</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sz w:val="18"/>
                <w:szCs w:val="18"/>
              </w:rPr>
            </w:pPr>
            <w:r w:rsidRPr="00EB7A51">
              <w:rPr>
                <w:rFonts w:ascii="Calibri" w:hAnsi="Calibri"/>
                <w:sz w:val="18"/>
                <w:szCs w:val="18"/>
              </w:rPr>
              <w:t>X</w:t>
            </w:r>
          </w:p>
        </w:tc>
        <w:tc>
          <w:tcPr>
            <w:tcW w:w="1661" w:type="dxa"/>
            <w:tcBorders>
              <w:top w:val="nil"/>
              <w:left w:val="nil"/>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Research reports</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3885" w:type="dxa"/>
            <w:tcBorders>
              <w:top w:val="nil"/>
              <w:left w:val="nil"/>
              <w:bottom w:val="single" w:sz="4" w:space="0" w:color="auto"/>
              <w:right w:val="single" w:sz="4" w:space="0" w:color="auto"/>
            </w:tcBorders>
            <w:shd w:val="clear" w:color="000000" w:fill="DDEBF7"/>
            <w:vAlign w:val="bottom"/>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Improve the quality of HIV service delivery (SD)</w:t>
            </w:r>
          </w:p>
        </w:tc>
        <w:tc>
          <w:tcPr>
            <w:tcW w:w="1397"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DDEBF7"/>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lastRenderedPageBreak/>
              <w:t>SD.76</w:t>
            </w:r>
          </w:p>
        </w:tc>
        <w:tc>
          <w:tcPr>
            <w:tcW w:w="3885"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Revision of national standard on HIV prevention among MSM, and men who have sex with men and women </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Updated/approved the standard</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SD.77</w:t>
            </w:r>
          </w:p>
        </w:tc>
        <w:tc>
          <w:tcPr>
            <w:tcW w:w="3885"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Revision of national standard on HIV prevention among sex workers</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Updated/approved the standard</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SD.78</w:t>
            </w:r>
          </w:p>
        </w:tc>
        <w:tc>
          <w:tcPr>
            <w:tcW w:w="3885"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Revision of harm reduction national standard for PWIDs</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Updated/approved the standard</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SD.79</w:t>
            </w:r>
          </w:p>
        </w:tc>
        <w:tc>
          <w:tcPr>
            <w:tcW w:w="3885"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Revision of national standard on HIV prevention targeting youth </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Updated/approved the standard</w:t>
            </w:r>
          </w:p>
        </w:tc>
      </w:tr>
      <w:tr w:rsidR="00C0455B" w:rsidTr="007861E0">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SD.80</w:t>
            </w:r>
          </w:p>
        </w:tc>
        <w:tc>
          <w:tcPr>
            <w:tcW w:w="3885"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Revision of clinical guidelines </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Updated/approved guideline.</w:t>
            </w:r>
          </w:p>
        </w:tc>
      </w:tr>
      <w:tr w:rsidR="00C0455B" w:rsidTr="007861E0">
        <w:trPr>
          <w:trHeight w:val="300"/>
        </w:trPr>
        <w:tc>
          <w:tcPr>
            <w:tcW w:w="788" w:type="dxa"/>
            <w:tcBorders>
              <w:top w:val="nil"/>
              <w:left w:val="nil"/>
              <w:bottom w:val="nil"/>
              <w:right w:val="nil"/>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3885" w:type="dxa"/>
            <w:tcBorders>
              <w:top w:val="nil"/>
              <w:left w:val="nil"/>
              <w:bottom w:val="nil"/>
              <w:right w:val="nil"/>
            </w:tcBorders>
            <w:shd w:val="clear" w:color="000000" w:fill="DDEBF7"/>
            <w:vAlign w:val="bottom"/>
            <w:hideMark/>
          </w:tcPr>
          <w:p w:rsidR="00EB7A51" w:rsidRPr="00EB7A51" w:rsidRDefault="00F83AE0" w:rsidP="00EB7A51">
            <w:pPr>
              <w:rPr>
                <w:rFonts w:ascii="Calibri" w:hAnsi="Calibri"/>
                <w:b/>
                <w:bCs/>
                <w:color w:val="000000"/>
                <w:sz w:val="18"/>
                <w:szCs w:val="18"/>
              </w:rPr>
            </w:pPr>
            <w:r w:rsidRPr="00EB7A51">
              <w:rPr>
                <w:rFonts w:ascii="Calibri" w:hAnsi="Calibri"/>
                <w:b/>
                <w:bCs/>
                <w:color w:val="000000"/>
                <w:sz w:val="18"/>
                <w:szCs w:val="18"/>
              </w:rPr>
              <w:t xml:space="preserve">Accountability </w:t>
            </w:r>
          </w:p>
        </w:tc>
        <w:tc>
          <w:tcPr>
            <w:tcW w:w="1397" w:type="dxa"/>
            <w:tcBorders>
              <w:top w:val="nil"/>
              <w:left w:val="nil"/>
              <w:bottom w:val="nil"/>
              <w:right w:val="nil"/>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nil"/>
              <w:right w:val="nil"/>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nil"/>
              <w:right w:val="nil"/>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nil"/>
              <w:right w:val="nil"/>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nil"/>
              <w:right w:val="nil"/>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nil"/>
              <w:right w:val="nil"/>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nil"/>
              <w:right w:val="nil"/>
            </w:tcBorders>
            <w:shd w:val="clear" w:color="000000" w:fill="DDEBF7"/>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nil"/>
              <w:right w:val="nil"/>
            </w:tcBorders>
            <w:shd w:val="clear" w:color="000000" w:fill="DDEBF7"/>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r>
      <w:tr w:rsidR="00C0455B" w:rsidTr="007861E0">
        <w:trPr>
          <w:trHeight w:val="64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Acc.81</w:t>
            </w:r>
          </w:p>
        </w:tc>
        <w:tc>
          <w:tcPr>
            <w:tcW w:w="3885" w:type="dxa"/>
            <w:tcBorders>
              <w:top w:val="single" w:sz="4" w:space="0" w:color="auto"/>
              <w:left w:val="nil"/>
              <w:bottom w:val="single" w:sz="4" w:space="0" w:color="auto"/>
              <w:right w:val="single" w:sz="4" w:space="0" w:color="auto"/>
            </w:tcBorders>
            <w:shd w:val="clear" w:color="auto" w:fill="auto"/>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Publishing HIV programmatic and financial reports to make them  accessible on public domains</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single" w:sz="4" w:space="0" w:color="auto"/>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Programmatic/financial reports; websites. </w:t>
            </w:r>
          </w:p>
        </w:tc>
      </w:tr>
      <w:tr w:rsidR="00C0455B" w:rsidTr="007861E0">
        <w:trPr>
          <w:trHeight w:val="300"/>
        </w:trPr>
        <w:tc>
          <w:tcPr>
            <w:tcW w:w="788" w:type="dxa"/>
            <w:tcBorders>
              <w:top w:val="nil"/>
              <w:left w:val="nil"/>
              <w:bottom w:val="nil"/>
              <w:right w:val="nil"/>
            </w:tcBorders>
            <w:shd w:val="clear" w:color="000000" w:fill="DDEBF7"/>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3885" w:type="dxa"/>
            <w:tcBorders>
              <w:top w:val="nil"/>
              <w:left w:val="nil"/>
              <w:bottom w:val="single" w:sz="4" w:space="0" w:color="auto"/>
              <w:right w:val="nil"/>
            </w:tcBorders>
            <w:shd w:val="clear" w:color="000000" w:fill="DDEBF7"/>
            <w:noWrap/>
            <w:vAlign w:val="bottom"/>
            <w:hideMark/>
          </w:tcPr>
          <w:p w:rsidR="00EB7A51" w:rsidRPr="00EB7A51" w:rsidRDefault="00F83AE0" w:rsidP="00EB7A51">
            <w:pPr>
              <w:rPr>
                <w:rFonts w:ascii="Calibri" w:hAnsi="Calibri"/>
                <w:b/>
                <w:bCs/>
                <w:sz w:val="18"/>
                <w:szCs w:val="18"/>
              </w:rPr>
            </w:pPr>
            <w:r w:rsidRPr="00EB7A51">
              <w:rPr>
                <w:rFonts w:ascii="Calibri" w:hAnsi="Calibri"/>
                <w:b/>
                <w:bCs/>
                <w:sz w:val="18"/>
                <w:szCs w:val="18"/>
              </w:rPr>
              <w:t xml:space="preserve">Monitoring and Evaluation </w:t>
            </w:r>
          </w:p>
        </w:tc>
        <w:tc>
          <w:tcPr>
            <w:tcW w:w="1397" w:type="dxa"/>
            <w:tcBorders>
              <w:top w:val="nil"/>
              <w:left w:val="nil"/>
              <w:bottom w:val="single" w:sz="4" w:space="0" w:color="auto"/>
              <w:right w:val="nil"/>
            </w:tcBorders>
            <w:shd w:val="clear" w:color="000000" w:fill="DDEBF7"/>
            <w:noWrap/>
            <w:vAlign w:val="center"/>
            <w:hideMark/>
          </w:tcPr>
          <w:p w:rsidR="00EB7A51" w:rsidRPr="00EB7A51" w:rsidRDefault="00F83AE0" w:rsidP="00EB7A51">
            <w:pPr>
              <w:jc w:val="center"/>
              <w:rPr>
                <w:rFonts w:ascii="Calibri" w:hAnsi="Calibri"/>
                <w:color w:val="FF0000"/>
                <w:sz w:val="18"/>
                <w:szCs w:val="18"/>
              </w:rPr>
            </w:pPr>
            <w:r w:rsidRPr="00EB7A51">
              <w:rPr>
                <w:rFonts w:ascii="Calibri" w:hAnsi="Calibri"/>
                <w:color w:val="FF0000"/>
                <w:sz w:val="18"/>
                <w:szCs w:val="18"/>
              </w:rPr>
              <w:t> </w:t>
            </w:r>
          </w:p>
        </w:tc>
        <w:tc>
          <w:tcPr>
            <w:tcW w:w="1155" w:type="dxa"/>
            <w:tcBorders>
              <w:top w:val="nil"/>
              <w:left w:val="nil"/>
              <w:bottom w:val="single" w:sz="4" w:space="0" w:color="auto"/>
              <w:right w:val="nil"/>
            </w:tcBorders>
            <w:shd w:val="clear" w:color="000000" w:fill="DDEBF7"/>
            <w:noWrap/>
            <w:vAlign w:val="center"/>
            <w:hideMark/>
          </w:tcPr>
          <w:p w:rsidR="00EB7A51" w:rsidRPr="00EB7A51" w:rsidRDefault="00F83AE0" w:rsidP="00EB7A51">
            <w:pPr>
              <w:rPr>
                <w:rFonts w:ascii="Calibri" w:hAnsi="Calibri"/>
                <w:color w:val="FF0000"/>
                <w:sz w:val="18"/>
                <w:szCs w:val="18"/>
              </w:rPr>
            </w:pPr>
            <w:r w:rsidRPr="00EB7A51">
              <w:rPr>
                <w:rFonts w:ascii="Calibri" w:hAnsi="Calibri"/>
                <w:color w:val="FF0000"/>
                <w:sz w:val="18"/>
                <w:szCs w:val="18"/>
              </w:rPr>
              <w:t> </w:t>
            </w:r>
          </w:p>
        </w:tc>
        <w:tc>
          <w:tcPr>
            <w:tcW w:w="1792" w:type="dxa"/>
            <w:tcBorders>
              <w:top w:val="nil"/>
              <w:left w:val="nil"/>
              <w:bottom w:val="single" w:sz="4" w:space="0" w:color="auto"/>
              <w:right w:val="nil"/>
            </w:tcBorders>
            <w:shd w:val="clear" w:color="000000" w:fill="DDEBF7"/>
            <w:noWrap/>
            <w:vAlign w:val="center"/>
            <w:hideMark/>
          </w:tcPr>
          <w:p w:rsidR="00EB7A51" w:rsidRPr="00EB7A51" w:rsidRDefault="00F83AE0" w:rsidP="00EB7A51">
            <w:pPr>
              <w:rPr>
                <w:rFonts w:ascii="Calibri" w:hAnsi="Calibri"/>
                <w:color w:val="FF0000"/>
                <w:sz w:val="18"/>
                <w:szCs w:val="18"/>
              </w:rPr>
            </w:pPr>
            <w:r w:rsidRPr="00EB7A51">
              <w:rPr>
                <w:rFonts w:ascii="Calibri" w:hAnsi="Calibri"/>
                <w:color w:val="FF0000"/>
                <w:sz w:val="18"/>
                <w:szCs w:val="18"/>
              </w:rPr>
              <w:t> </w:t>
            </w:r>
          </w:p>
        </w:tc>
        <w:tc>
          <w:tcPr>
            <w:tcW w:w="809" w:type="dxa"/>
            <w:tcBorders>
              <w:top w:val="nil"/>
              <w:left w:val="nil"/>
              <w:bottom w:val="single" w:sz="4" w:space="0" w:color="auto"/>
              <w:right w:val="nil"/>
            </w:tcBorders>
            <w:shd w:val="clear" w:color="000000" w:fill="DDEBF7"/>
            <w:noWrap/>
            <w:vAlign w:val="bottom"/>
            <w:hideMark/>
          </w:tcPr>
          <w:p w:rsidR="00EB7A51" w:rsidRPr="00EB7A51" w:rsidRDefault="00F83AE0" w:rsidP="00EB7A51">
            <w:pPr>
              <w:rPr>
                <w:rFonts w:ascii="Calibri" w:hAnsi="Calibri"/>
                <w:color w:val="FF0000"/>
                <w:sz w:val="18"/>
                <w:szCs w:val="18"/>
              </w:rPr>
            </w:pPr>
            <w:r w:rsidRPr="00EB7A51">
              <w:rPr>
                <w:rFonts w:ascii="Calibri" w:hAnsi="Calibri"/>
                <w:color w:val="FF0000"/>
                <w:sz w:val="18"/>
                <w:szCs w:val="18"/>
              </w:rPr>
              <w:t> </w:t>
            </w:r>
          </w:p>
        </w:tc>
        <w:tc>
          <w:tcPr>
            <w:tcW w:w="809" w:type="dxa"/>
            <w:tcBorders>
              <w:top w:val="nil"/>
              <w:left w:val="nil"/>
              <w:bottom w:val="single" w:sz="4" w:space="0" w:color="auto"/>
              <w:right w:val="nil"/>
            </w:tcBorders>
            <w:shd w:val="clear" w:color="000000" w:fill="DDEBF7"/>
            <w:noWrap/>
            <w:vAlign w:val="bottom"/>
            <w:hideMark/>
          </w:tcPr>
          <w:p w:rsidR="00EB7A51" w:rsidRPr="00EB7A51" w:rsidRDefault="00F83AE0" w:rsidP="00EB7A51">
            <w:pPr>
              <w:rPr>
                <w:rFonts w:ascii="Calibri" w:hAnsi="Calibri"/>
                <w:color w:val="FF0000"/>
                <w:sz w:val="18"/>
                <w:szCs w:val="18"/>
              </w:rPr>
            </w:pPr>
            <w:r w:rsidRPr="00EB7A51">
              <w:rPr>
                <w:rFonts w:ascii="Calibri" w:hAnsi="Calibri"/>
                <w:color w:val="FF0000"/>
                <w:sz w:val="18"/>
                <w:szCs w:val="18"/>
              </w:rPr>
              <w:t> </w:t>
            </w:r>
          </w:p>
        </w:tc>
        <w:tc>
          <w:tcPr>
            <w:tcW w:w="1120" w:type="dxa"/>
            <w:tcBorders>
              <w:top w:val="nil"/>
              <w:left w:val="nil"/>
              <w:bottom w:val="single" w:sz="4" w:space="0" w:color="auto"/>
              <w:right w:val="nil"/>
            </w:tcBorders>
            <w:shd w:val="clear" w:color="000000" w:fill="DDEBF7"/>
            <w:noWrap/>
            <w:vAlign w:val="bottom"/>
            <w:hideMark/>
          </w:tcPr>
          <w:p w:rsidR="00EB7A51" w:rsidRPr="00EB7A51" w:rsidRDefault="00F83AE0" w:rsidP="00EB7A51">
            <w:pPr>
              <w:rPr>
                <w:rFonts w:ascii="Calibri" w:hAnsi="Calibri"/>
                <w:color w:val="FF0000"/>
                <w:sz w:val="18"/>
                <w:szCs w:val="18"/>
              </w:rPr>
            </w:pPr>
            <w:r w:rsidRPr="00EB7A51">
              <w:rPr>
                <w:rFonts w:ascii="Calibri" w:hAnsi="Calibri"/>
                <w:color w:val="FF0000"/>
                <w:sz w:val="18"/>
                <w:szCs w:val="18"/>
              </w:rPr>
              <w:t> </w:t>
            </w:r>
          </w:p>
        </w:tc>
        <w:tc>
          <w:tcPr>
            <w:tcW w:w="1180" w:type="dxa"/>
            <w:tcBorders>
              <w:top w:val="nil"/>
              <w:left w:val="nil"/>
              <w:bottom w:val="single" w:sz="4" w:space="0" w:color="auto"/>
              <w:right w:val="nil"/>
            </w:tcBorders>
            <w:shd w:val="clear" w:color="000000" w:fill="DDEBF7"/>
            <w:noWrap/>
            <w:vAlign w:val="bottom"/>
            <w:hideMark/>
          </w:tcPr>
          <w:p w:rsidR="00EB7A51" w:rsidRPr="00EB7A51" w:rsidRDefault="00F83AE0" w:rsidP="00EB7A51">
            <w:pPr>
              <w:rPr>
                <w:rFonts w:ascii="Calibri" w:hAnsi="Calibri"/>
                <w:color w:val="FF0000"/>
                <w:sz w:val="18"/>
                <w:szCs w:val="18"/>
              </w:rPr>
            </w:pPr>
            <w:r w:rsidRPr="00EB7A51">
              <w:rPr>
                <w:rFonts w:ascii="Calibri" w:hAnsi="Calibri"/>
                <w:color w:val="FF0000"/>
                <w:sz w:val="18"/>
                <w:szCs w:val="18"/>
              </w:rPr>
              <w:t> </w:t>
            </w:r>
          </w:p>
        </w:tc>
        <w:tc>
          <w:tcPr>
            <w:tcW w:w="1661" w:type="dxa"/>
            <w:tcBorders>
              <w:top w:val="nil"/>
              <w:left w:val="nil"/>
              <w:bottom w:val="single" w:sz="4" w:space="0" w:color="auto"/>
              <w:right w:val="nil"/>
            </w:tcBorders>
            <w:shd w:val="clear" w:color="000000" w:fill="DDEBF7"/>
            <w:noWrap/>
            <w:vAlign w:val="bottom"/>
            <w:hideMark/>
          </w:tcPr>
          <w:p w:rsidR="00EB7A51" w:rsidRPr="00EB7A51" w:rsidRDefault="00F83AE0" w:rsidP="00EB7A51">
            <w:pPr>
              <w:rPr>
                <w:rFonts w:ascii="Calibri" w:hAnsi="Calibri"/>
                <w:color w:val="FF0000"/>
                <w:sz w:val="18"/>
                <w:szCs w:val="18"/>
              </w:rPr>
            </w:pPr>
            <w:r w:rsidRPr="00EB7A51">
              <w:rPr>
                <w:rFonts w:ascii="Calibri" w:hAnsi="Calibri"/>
                <w:color w:val="FF0000"/>
                <w:sz w:val="18"/>
                <w:szCs w:val="18"/>
              </w:rPr>
              <w:t> </w:t>
            </w:r>
          </w:p>
        </w:tc>
      </w:tr>
      <w:tr w:rsidR="00C0455B" w:rsidTr="007861E0">
        <w:trPr>
          <w:trHeight w:val="600"/>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Mon.82</w:t>
            </w:r>
          </w:p>
        </w:tc>
        <w:tc>
          <w:tcPr>
            <w:tcW w:w="3885"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Operational manual (including indicators' reference sheets) for the NSP Monitoring and Evaluation framework developed</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792"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809"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auto" w:fill="auto"/>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Operational Manual </w:t>
            </w:r>
          </w:p>
        </w:tc>
      </w:tr>
      <w:tr w:rsidR="00C0455B" w:rsidTr="007861E0">
        <w:trPr>
          <w:trHeight w:val="600"/>
        </w:trPr>
        <w:tc>
          <w:tcPr>
            <w:tcW w:w="788" w:type="dxa"/>
            <w:tcBorders>
              <w:top w:val="nil"/>
              <w:left w:val="single" w:sz="4" w:space="0" w:color="auto"/>
              <w:bottom w:val="single" w:sz="4" w:space="0" w:color="auto"/>
              <w:right w:val="single" w:sz="4" w:space="0" w:color="auto"/>
            </w:tcBorders>
            <w:shd w:val="clear" w:color="000000" w:fill="FFFFFF"/>
            <w:noWrap/>
            <w:vAlign w:val="bottom"/>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Mon.83</w:t>
            </w:r>
          </w:p>
        </w:tc>
        <w:tc>
          <w:tcPr>
            <w:tcW w:w="3885"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xml:space="preserve">Monitoring the progress towards implementation of NSP by external monitoring committee/community monitors  </w:t>
            </w:r>
          </w:p>
        </w:tc>
        <w:tc>
          <w:tcPr>
            <w:tcW w:w="1397"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809"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2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80" w:type="dxa"/>
            <w:tcBorders>
              <w:top w:val="nil"/>
              <w:left w:val="nil"/>
              <w:bottom w:val="single" w:sz="4" w:space="0" w:color="auto"/>
              <w:right w:val="single" w:sz="4" w:space="0" w:color="auto"/>
            </w:tcBorders>
            <w:shd w:val="clear" w:color="000000" w:fill="FFFFFF"/>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661" w:type="dxa"/>
            <w:tcBorders>
              <w:top w:val="nil"/>
              <w:left w:val="nil"/>
              <w:bottom w:val="single" w:sz="4" w:space="0" w:color="auto"/>
              <w:right w:val="single" w:sz="4" w:space="0" w:color="auto"/>
            </w:tcBorders>
            <w:shd w:val="clear" w:color="000000" w:fill="FFFFFF"/>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Monitoring reports/meeting minutes</w:t>
            </w:r>
          </w:p>
        </w:tc>
      </w:tr>
      <w:tr w:rsidR="00C0455B" w:rsidTr="007861E0">
        <w:trPr>
          <w:trHeight w:val="900"/>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Mon.84</w:t>
            </w:r>
          </w:p>
        </w:tc>
        <w:tc>
          <w:tcPr>
            <w:tcW w:w="3885"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M&amp;E reports about achievements against the NSP indicators produced annually and are accessible to the public</w:t>
            </w:r>
          </w:p>
        </w:tc>
        <w:tc>
          <w:tcPr>
            <w:tcW w:w="1397"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155"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NA</w:t>
            </w:r>
          </w:p>
        </w:tc>
        <w:tc>
          <w:tcPr>
            <w:tcW w:w="1792"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809"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2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180" w:type="dxa"/>
            <w:tcBorders>
              <w:top w:val="nil"/>
              <w:left w:val="nil"/>
              <w:bottom w:val="single" w:sz="4" w:space="0" w:color="auto"/>
              <w:right w:val="single" w:sz="4" w:space="0" w:color="auto"/>
            </w:tcBorders>
            <w:shd w:val="clear" w:color="auto" w:fill="auto"/>
            <w:noWrap/>
            <w:vAlign w:val="center"/>
            <w:hideMark/>
          </w:tcPr>
          <w:p w:rsidR="00EB7A51" w:rsidRPr="00EB7A51" w:rsidRDefault="00F83AE0" w:rsidP="00EB7A51">
            <w:pPr>
              <w:jc w:val="center"/>
              <w:rPr>
                <w:rFonts w:ascii="Calibri" w:hAnsi="Calibri"/>
                <w:color w:val="000000"/>
                <w:sz w:val="18"/>
                <w:szCs w:val="18"/>
              </w:rPr>
            </w:pPr>
            <w:r w:rsidRPr="00EB7A51">
              <w:rPr>
                <w:rFonts w:ascii="Calibri" w:hAnsi="Calibri"/>
                <w:color w:val="000000"/>
                <w:sz w:val="18"/>
                <w:szCs w:val="18"/>
              </w:rPr>
              <w:t>X</w:t>
            </w:r>
          </w:p>
        </w:tc>
        <w:tc>
          <w:tcPr>
            <w:tcW w:w="1661" w:type="dxa"/>
            <w:tcBorders>
              <w:top w:val="nil"/>
              <w:left w:val="nil"/>
              <w:bottom w:val="single" w:sz="4" w:space="0" w:color="auto"/>
              <w:right w:val="single" w:sz="4" w:space="0" w:color="auto"/>
            </w:tcBorders>
            <w:shd w:val="clear" w:color="auto" w:fill="auto"/>
            <w:vAlign w:val="center"/>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Annual M&amp;E reports uploaded on the NCDC, MOH, CCM websites</w:t>
            </w:r>
          </w:p>
        </w:tc>
      </w:tr>
      <w:tr w:rsidR="00C0455B" w:rsidTr="007861E0">
        <w:trPr>
          <w:trHeight w:val="300"/>
        </w:trPr>
        <w:tc>
          <w:tcPr>
            <w:tcW w:w="788" w:type="dxa"/>
            <w:tcBorders>
              <w:top w:val="nil"/>
              <w:left w:val="single" w:sz="4" w:space="0" w:color="auto"/>
              <w:bottom w:val="single" w:sz="4" w:space="0" w:color="auto"/>
              <w:right w:val="nil"/>
            </w:tcBorders>
            <w:shd w:val="clear" w:color="000000" w:fill="5B9BD5"/>
            <w:noWrap/>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3885" w:type="dxa"/>
            <w:tcBorders>
              <w:top w:val="nil"/>
              <w:left w:val="nil"/>
              <w:bottom w:val="single" w:sz="4" w:space="0" w:color="auto"/>
              <w:right w:val="nil"/>
            </w:tcBorders>
            <w:shd w:val="clear" w:color="000000" w:fill="5B9BD5"/>
            <w:noWrap/>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397" w:type="dxa"/>
            <w:tcBorders>
              <w:top w:val="nil"/>
              <w:left w:val="nil"/>
              <w:bottom w:val="single" w:sz="4" w:space="0" w:color="auto"/>
              <w:right w:val="nil"/>
            </w:tcBorders>
            <w:shd w:val="clear" w:color="000000" w:fill="5B9BD5"/>
            <w:noWrap/>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155" w:type="dxa"/>
            <w:tcBorders>
              <w:top w:val="nil"/>
              <w:left w:val="nil"/>
              <w:bottom w:val="single" w:sz="4" w:space="0" w:color="auto"/>
              <w:right w:val="nil"/>
            </w:tcBorders>
            <w:shd w:val="clear" w:color="000000" w:fill="5B9BD5"/>
            <w:noWrap/>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792" w:type="dxa"/>
            <w:tcBorders>
              <w:top w:val="nil"/>
              <w:left w:val="nil"/>
              <w:bottom w:val="single" w:sz="4" w:space="0" w:color="auto"/>
              <w:right w:val="nil"/>
            </w:tcBorders>
            <w:shd w:val="clear" w:color="000000" w:fill="5B9BD5"/>
            <w:noWrap/>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nil"/>
            </w:tcBorders>
            <w:shd w:val="clear" w:color="000000" w:fill="5B9BD5"/>
            <w:noWrap/>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809" w:type="dxa"/>
            <w:tcBorders>
              <w:top w:val="nil"/>
              <w:left w:val="nil"/>
              <w:bottom w:val="single" w:sz="4" w:space="0" w:color="auto"/>
              <w:right w:val="nil"/>
            </w:tcBorders>
            <w:shd w:val="clear" w:color="000000" w:fill="5B9BD5"/>
            <w:noWrap/>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120" w:type="dxa"/>
            <w:tcBorders>
              <w:top w:val="nil"/>
              <w:left w:val="nil"/>
              <w:bottom w:val="single" w:sz="4" w:space="0" w:color="auto"/>
              <w:right w:val="nil"/>
            </w:tcBorders>
            <w:shd w:val="clear" w:color="000000" w:fill="5B9BD5"/>
            <w:noWrap/>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180" w:type="dxa"/>
            <w:tcBorders>
              <w:top w:val="nil"/>
              <w:left w:val="nil"/>
              <w:bottom w:val="single" w:sz="4" w:space="0" w:color="auto"/>
              <w:right w:val="nil"/>
            </w:tcBorders>
            <w:shd w:val="clear" w:color="000000" w:fill="5B9BD5"/>
            <w:noWrap/>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c>
          <w:tcPr>
            <w:tcW w:w="1661" w:type="dxa"/>
            <w:tcBorders>
              <w:top w:val="nil"/>
              <w:left w:val="nil"/>
              <w:bottom w:val="single" w:sz="4" w:space="0" w:color="auto"/>
              <w:right w:val="single" w:sz="4" w:space="0" w:color="auto"/>
            </w:tcBorders>
            <w:shd w:val="clear" w:color="000000" w:fill="5B9BD5"/>
            <w:noWrap/>
            <w:vAlign w:val="bottom"/>
            <w:hideMark/>
          </w:tcPr>
          <w:p w:rsidR="00EB7A51" w:rsidRPr="00EB7A51" w:rsidRDefault="00F83AE0" w:rsidP="00EB7A51">
            <w:pPr>
              <w:rPr>
                <w:rFonts w:ascii="Calibri" w:hAnsi="Calibri"/>
                <w:color w:val="000000"/>
                <w:sz w:val="18"/>
                <w:szCs w:val="18"/>
              </w:rPr>
            </w:pPr>
            <w:r w:rsidRPr="00EB7A51">
              <w:rPr>
                <w:rFonts w:ascii="Calibri" w:hAnsi="Calibri"/>
                <w:color w:val="000000"/>
                <w:sz w:val="18"/>
                <w:szCs w:val="18"/>
              </w:rPr>
              <w:t> </w:t>
            </w:r>
          </w:p>
        </w:tc>
      </w:tr>
    </w:tbl>
    <w:p w:rsidR="00CC2B69" w:rsidRPr="00CC2B69" w:rsidRDefault="00CC2B69" w:rsidP="000D0C1F">
      <w:pPr>
        <w:pStyle w:val="Caption"/>
      </w:pPr>
    </w:p>
    <w:p w:rsidR="00E844F0" w:rsidRDefault="00E844F0" w:rsidP="003F4C37"/>
    <w:p w:rsidR="00E844F0" w:rsidRDefault="00E844F0" w:rsidP="003F4C37">
      <w:pPr>
        <w:sectPr w:rsidR="00E844F0" w:rsidSect="00E844F0">
          <w:pgSz w:w="16840" w:h="11900" w:orient="landscape"/>
          <w:pgMar w:top="1440" w:right="1089" w:bottom="1440" w:left="1440" w:header="708" w:footer="708" w:gutter="0"/>
          <w:cols w:space="708"/>
          <w:docGrid w:linePitch="360"/>
        </w:sectPr>
      </w:pPr>
    </w:p>
    <w:p w:rsidR="003F4C37" w:rsidRDefault="003F4C37" w:rsidP="003F4C37"/>
    <w:p w:rsidR="003F4C37" w:rsidRDefault="00F83AE0" w:rsidP="003F4C37">
      <w:pPr>
        <w:pStyle w:val="Heading1"/>
      </w:pPr>
      <w:bookmarkStart w:id="59" w:name="_Toc517018636"/>
      <w:r>
        <w:t>References</w:t>
      </w:r>
      <w:bookmarkEnd w:id="59"/>
    </w:p>
    <w:p w:rsidR="003818CF" w:rsidRPr="000B7804" w:rsidRDefault="003818CF" w:rsidP="003818CF">
      <w:pPr>
        <w:pStyle w:val="FootnoteText"/>
        <w:contextualSpacing/>
        <w:rPr>
          <w:rFonts w:asciiTheme="minorHAnsi" w:hAnsiTheme="minorHAnsi" w:cstheme="minorHAnsi"/>
          <w:sz w:val="2"/>
          <w:szCs w:val="2"/>
        </w:rPr>
      </w:pPr>
    </w:p>
    <w:p w:rsidR="003818CF" w:rsidRPr="000B7804" w:rsidRDefault="003818CF" w:rsidP="003818CF">
      <w:pPr>
        <w:pStyle w:val="FootnoteText"/>
        <w:contextualSpacing/>
        <w:rPr>
          <w:rFonts w:asciiTheme="minorHAnsi" w:hAnsiTheme="minorHAnsi" w:cstheme="minorHAnsi"/>
          <w:sz w:val="2"/>
          <w:szCs w:val="2"/>
        </w:rPr>
      </w:pPr>
    </w:p>
    <w:p w:rsidR="00421705" w:rsidRPr="00EF25FC" w:rsidRDefault="00F83AE0" w:rsidP="00EF25FC">
      <w:pPr>
        <w:pStyle w:val="ListParagraph"/>
        <w:numPr>
          <w:ilvl w:val="0"/>
          <w:numId w:val="33"/>
        </w:numPr>
        <w:rPr>
          <w:rFonts w:asciiTheme="minorHAnsi" w:hAnsiTheme="minorHAnsi"/>
          <w:color w:val="000000"/>
          <w:sz w:val="22"/>
          <w:szCs w:val="22"/>
        </w:rPr>
      </w:pPr>
      <w:r w:rsidRPr="00EF25FC">
        <w:rPr>
          <w:rFonts w:asciiTheme="minorHAnsi" w:eastAsia="Sylfaen" w:hAnsiTheme="minorHAnsi" w:cstheme="minorHAnsi"/>
          <w:color w:val="000000"/>
          <w:sz w:val="22"/>
          <w:szCs w:val="22"/>
        </w:rPr>
        <w:t xml:space="preserve">90–90–90 - An ambitious treatment target to help end the AIDS epidemic. </w:t>
      </w:r>
      <w:hyperlink r:id="rId32" w:history="1">
        <w:r w:rsidRPr="00EF25FC">
          <w:rPr>
            <w:rStyle w:val="Hyperlink"/>
            <w:rFonts w:asciiTheme="minorHAnsi" w:hAnsiTheme="minorHAnsi" w:cstheme="minorHAnsi"/>
            <w:spacing w:val="17"/>
            <w:sz w:val="22"/>
            <w:szCs w:val="22"/>
          </w:rPr>
          <w:t>http://www.unaids.org/en/resources/documents/2017/90-90-90</w:t>
        </w:r>
      </w:hyperlink>
    </w:p>
    <w:p w:rsidR="00421705" w:rsidRPr="00504023" w:rsidRDefault="00F83AE0" w:rsidP="00EF25FC">
      <w:pPr>
        <w:pStyle w:val="FootnoteText"/>
        <w:numPr>
          <w:ilvl w:val="0"/>
          <w:numId w:val="33"/>
        </w:numPr>
        <w:rPr>
          <w:rFonts w:asciiTheme="minorHAnsi" w:hAnsiTheme="minorHAnsi" w:cstheme="minorHAnsi"/>
          <w:sz w:val="22"/>
          <w:szCs w:val="22"/>
        </w:rPr>
      </w:pPr>
      <w:r w:rsidRPr="00504023">
        <w:rPr>
          <w:rFonts w:asciiTheme="minorHAnsi" w:eastAsia="Sylfaen" w:hAnsiTheme="minorHAnsi" w:cstheme="minorHAnsi"/>
          <w:color w:val="000000"/>
          <w:sz w:val="22"/>
          <w:szCs w:val="22"/>
        </w:rPr>
        <w:t>Article 356 of the EU Georgia Association Agreement</w:t>
      </w:r>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noProof/>
          <w:sz w:val="22"/>
          <w:szCs w:val="22"/>
        </w:rPr>
        <w:t xml:space="preserve">Chkhartishvili N, Sharvadze L, Chokoshvili O et al. Mortality and causes of death among HIV-infected individuals in the country of Georgia: 1989-2012. </w:t>
      </w:r>
      <w:r w:rsidRPr="00504023">
        <w:rPr>
          <w:rFonts w:asciiTheme="minorHAnsi" w:hAnsiTheme="minorHAnsi" w:cstheme="minorHAnsi"/>
          <w:i/>
          <w:noProof/>
          <w:sz w:val="22"/>
          <w:szCs w:val="22"/>
        </w:rPr>
        <w:t>AIDS Res Hum Retroviruses</w:t>
      </w:r>
      <w:r w:rsidRPr="00504023">
        <w:rPr>
          <w:rFonts w:asciiTheme="minorHAnsi" w:hAnsiTheme="minorHAnsi" w:cstheme="minorHAnsi"/>
          <w:noProof/>
          <w:sz w:val="22"/>
          <w:szCs w:val="22"/>
        </w:rPr>
        <w:t>. 2014;30:560-6.</w:t>
      </w:r>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noProof/>
          <w:sz w:val="22"/>
          <w:szCs w:val="22"/>
          <w:lang w:val="ka-GE"/>
        </w:rPr>
        <w:t>Chokoshvili O, Kepuladze K, Tsintsadze M et al. High prevalence and incidence of HIV, syphilis and viral hepatitis among men who have sex with men in Georgia: Findings of the Georgian MSM Cohort. 16th European AIDS Conference. Milan, Italy; 2017.</w:t>
      </w:r>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Evaluation cost-effectiveness of needle and syringe program in Georgia, UNAIDS, 2011 </w:t>
      </w:r>
      <w:hyperlink r:id="rId33" w:history="1">
        <w:r w:rsidRPr="00504023">
          <w:rPr>
            <w:rStyle w:val="Hyperlink"/>
            <w:rFonts w:asciiTheme="minorHAnsi" w:hAnsiTheme="minorHAnsi" w:cstheme="minorHAnsi"/>
            <w:sz w:val="22"/>
            <w:szCs w:val="22"/>
          </w:rPr>
          <w:t>http://altgeorgia.ge/2012/myfiles/UNAIDS_reporrt_eng.pdf</w:t>
        </w:r>
      </w:hyperlink>
    </w:p>
    <w:p w:rsidR="00421705" w:rsidRPr="00504023" w:rsidRDefault="00F83AE0" w:rsidP="00EF25FC">
      <w:pPr>
        <w:pStyle w:val="FootnoteText"/>
        <w:numPr>
          <w:ilvl w:val="0"/>
          <w:numId w:val="33"/>
        </w:numPr>
        <w:rPr>
          <w:rFonts w:asciiTheme="minorHAnsi" w:hAnsiTheme="minorHAnsi" w:cstheme="minorHAnsi"/>
          <w:sz w:val="22"/>
          <w:szCs w:val="22"/>
        </w:rPr>
      </w:pPr>
      <w:r w:rsidRPr="00504023">
        <w:rPr>
          <w:rFonts w:asciiTheme="minorHAnsi" w:hAnsiTheme="minorHAnsi" w:cstheme="minorHAnsi"/>
          <w:sz w:val="22"/>
          <w:szCs w:val="22"/>
        </w:rPr>
        <w:t xml:space="preserve">Georgia Law on State Budget </w:t>
      </w:r>
      <w:hyperlink r:id="rId34" w:history="1">
        <w:r w:rsidRPr="00504023">
          <w:rPr>
            <w:rStyle w:val="Hyperlink"/>
            <w:rFonts w:asciiTheme="minorHAnsi" w:hAnsiTheme="minorHAnsi" w:cstheme="minorHAnsi"/>
            <w:sz w:val="22"/>
            <w:szCs w:val="22"/>
          </w:rPr>
          <w:t>https://matsne.gov.ge/ka/document/view/3938064</w:t>
        </w:r>
      </w:hyperlink>
    </w:p>
    <w:p w:rsidR="00421705" w:rsidRPr="00504023" w:rsidRDefault="00F83AE0" w:rsidP="00EF25FC">
      <w:pPr>
        <w:pStyle w:val="FootnoteText"/>
        <w:numPr>
          <w:ilvl w:val="0"/>
          <w:numId w:val="33"/>
        </w:numPr>
        <w:rPr>
          <w:rFonts w:asciiTheme="minorHAnsi" w:hAnsiTheme="minorHAnsi" w:cstheme="minorHAnsi"/>
          <w:sz w:val="22"/>
          <w:szCs w:val="22"/>
        </w:rPr>
      </w:pPr>
      <w:r w:rsidRPr="00504023">
        <w:rPr>
          <w:rFonts w:asciiTheme="minorHAnsi" w:hAnsiTheme="minorHAnsi" w:cstheme="minorHAnsi"/>
          <w:sz w:val="22"/>
          <w:szCs w:val="22"/>
        </w:rPr>
        <w:t>Georgia Transition Plan. Curatio International Foundation. 2016</w:t>
      </w:r>
    </w:p>
    <w:p w:rsidR="00421705" w:rsidRPr="00504023" w:rsidRDefault="00F83AE0" w:rsidP="00EF25FC">
      <w:pPr>
        <w:pStyle w:val="FootnoteText"/>
        <w:numPr>
          <w:ilvl w:val="0"/>
          <w:numId w:val="33"/>
        </w:numPr>
        <w:rPr>
          <w:rFonts w:asciiTheme="minorHAnsi" w:hAnsiTheme="minorHAnsi"/>
          <w:sz w:val="22"/>
          <w:szCs w:val="22"/>
        </w:rPr>
      </w:pPr>
      <w:r w:rsidRPr="00504023">
        <w:rPr>
          <w:rFonts w:asciiTheme="minorHAnsi" w:hAnsiTheme="minorHAnsi"/>
          <w:sz w:val="22"/>
          <w:szCs w:val="22"/>
        </w:rPr>
        <w:t xml:space="preserve">Global AIDS Monitoring 2018. UNAIDS. </w:t>
      </w:r>
      <w:hyperlink r:id="rId35" w:history="1">
        <w:r w:rsidRPr="00504023">
          <w:rPr>
            <w:rStyle w:val="Hyperlink"/>
            <w:rFonts w:asciiTheme="minorHAnsi" w:hAnsiTheme="minorHAnsi"/>
            <w:sz w:val="22"/>
            <w:szCs w:val="22"/>
          </w:rPr>
          <w:t>http://www.unaids.org/sites/default/files/media_asset/2017-Global-AIDS-Monitoring_en.pdf</w:t>
        </w:r>
      </w:hyperlink>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Government of Georgia. Ordinance No 36. February 2013 </w:t>
      </w:r>
      <w:hyperlink r:id="rId36" w:history="1">
        <w:r w:rsidRPr="00504023">
          <w:rPr>
            <w:rStyle w:val="Hyperlink"/>
            <w:rFonts w:asciiTheme="minorHAnsi" w:hAnsiTheme="minorHAnsi" w:cstheme="minorHAnsi"/>
            <w:sz w:val="22"/>
            <w:szCs w:val="22"/>
          </w:rPr>
          <w:t>http://ssa.gov.ge/files/01_GEO/KANONMDEBLOBA/Kanon%20Qvemdebare/92.pdf</w:t>
        </w:r>
      </w:hyperlink>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Government of Georgia. Ordinance No 724. December 2014. </w:t>
      </w:r>
      <w:hyperlink r:id="rId37" w:history="1">
        <w:r w:rsidRPr="00504023">
          <w:rPr>
            <w:rStyle w:val="Hyperlink"/>
            <w:rFonts w:asciiTheme="minorHAnsi" w:hAnsiTheme="minorHAnsi" w:cstheme="minorHAnsi"/>
            <w:sz w:val="22"/>
            <w:szCs w:val="22"/>
          </w:rPr>
          <w:t>https://matsne.gov.ge/en/document/view/2657250</w:t>
        </w:r>
      </w:hyperlink>
    </w:p>
    <w:p w:rsidR="00421705" w:rsidRPr="00504023" w:rsidRDefault="00F83AE0" w:rsidP="00EF25FC">
      <w:pPr>
        <w:pStyle w:val="FootnoteText"/>
        <w:numPr>
          <w:ilvl w:val="0"/>
          <w:numId w:val="33"/>
        </w:numPr>
        <w:rPr>
          <w:rFonts w:asciiTheme="minorHAnsi" w:hAnsiTheme="minorHAnsi"/>
          <w:sz w:val="22"/>
          <w:szCs w:val="22"/>
        </w:rPr>
      </w:pPr>
      <w:r w:rsidRPr="00504023">
        <w:rPr>
          <w:rFonts w:asciiTheme="minorHAnsi" w:hAnsiTheme="minorHAnsi"/>
          <w:sz w:val="22"/>
          <w:szCs w:val="22"/>
        </w:rPr>
        <w:t xml:space="preserve">HIV risk and prevention behaviors among People Who Inject Drugs in seven cities of Georgia, 2016-2017, Bemoni Public Union(BPU); Curatio International Foundation (CIF) </w:t>
      </w:r>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HIV risk and prevention behaviours among Prison Inmates in Georgia; Curatio International Foundation Center for Information and Counseling on Reproductive Health – Tanadgoma; </w:t>
      </w:r>
      <w:hyperlink r:id="rId38" w:history="1">
        <w:r w:rsidRPr="00504023">
          <w:rPr>
            <w:rStyle w:val="Hyperlink"/>
            <w:rFonts w:asciiTheme="minorHAnsi" w:hAnsiTheme="minorHAnsi" w:cstheme="minorHAnsi"/>
            <w:sz w:val="22"/>
            <w:szCs w:val="22"/>
          </w:rPr>
          <w:t>http://new.tanadgomaweb.ge/upfiles/dfltcontent/3/157.pdf</w:t>
        </w:r>
      </w:hyperlink>
      <w:r w:rsidRPr="00504023">
        <w:rPr>
          <w:rFonts w:asciiTheme="minorHAnsi" w:hAnsiTheme="minorHAnsi" w:cstheme="minorHAnsi"/>
          <w:sz w:val="22"/>
          <w:szCs w:val="22"/>
        </w:rPr>
        <w:t xml:space="preserve"> </w:t>
      </w:r>
    </w:p>
    <w:p w:rsidR="00421705" w:rsidRPr="00504023" w:rsidRDefault="00F13508" w:rsidP="00EF25FC">
      <w:pPr>
        <w:pStyle w:val="FootnoteText"/>
        <w:numPr>
          <w:ilvl w:val="0"/>
          <w:numId w:val="33"/>
        </w:numPr>
        <w:rPr>
          <w:rFonts w:asciiTheme="minorHAnsi" w:hAnsiTheme="minorHAnsi"/>
          <w:sz w:val="22"/>
          <w:szCs w:val="22"/>
        </w:rPr>
      </w:pPr>
      <w:hyperlink r:id="rId39" w:history="1">
        <w:r w:rsidR="00F83AE0" w:rsidRPr="00504023">
          <w:rPr>
            <w:rStyle w:val="Hyperlink"/>
            <w:rFonts w:asciiTheme="minorHAnsi" w:hAnsiTheme="minorHAnsi"/>
            <w:sz w:val="22"/>
            <w:szCs w:val="22"/>
          </w:rPr>
          <w:t>http://databank.worldbank.org/data/reports.aspx?source=world-development-indicators#</w:t>
        </w:r>
      </w:hyperlink>
    </w:p>
    <w:p w:rsidR="00421705" w:rsidRPr="00504023" w:rsidRDefault="00F13508" w:rsidP="00EF25FC">
      <w:pPr>
        <w:pStyle w:val="FootnoteText"/>
        <w:numPr>
          <w:ilvl w:val="0"/>
          <w:numId w:val="33"/>
        </w:numPr>
        <w:contextualSpacing/>
        <w:rPr>
          <w:rFonts w:asciiTheme="minorHAnsi" w:hAnsiTheme="minorHAnsi" w:cstheme="minorHAnsi"/>
          <w:sz w:val="22"/>
          <w:szCs w:val="22"/>
        </w:rPr>
      </w:pPr>
      <w:hyperlink r:id="rId40" w:history="1">
        <w:r w:rsidR="00F83AE0" w:rsidRPr="00504023">
          <w:rPr>
            <w:rStyle w:val="Hyperlink"/>
            <w:rFonts w:asciiTheme="minorHAnsi" w:hAnsiTheme="minorHAnsi" w:cstheme="minorHAnsi"/>
            <w:sz w:val="22"/>
            <w:szCs w:val="22"/>
          </w:rPr>
          <w:t>http://www.unaids.org/en/regionscountries/countries/georgia</w:t>
        </w:r>
      </w:hyperlink>
      <w:r w:rsidR="00F83AE0" w:rsidRPr="00504023">
        <w:rPr>
          <w:rFonts w:asciiTheme="minorHAnsi" w:hAnsiTheme="minorHAnsi" w:cstheme="minorHAnsi"/>
          <w:sz w:val="22"/>
          <w:szCs w:val="22"/>
        </w:rPr>
        <w:t xml:space="preserve"> </w:t>
      </w:r>
    </w:p>
    <w:p w:rsidR="00421705" w:rsidRPr="00504023" w:rsidRDefault="00F13508" w:rsidP="00EF25FC">
      <w:pPr>
        <w:pStyle w:val="FootnoteText"/>
        <w:numPr>
          <w:ilvl w:val="0"/>
          <w:numId w:val="33"/>
        </w:numPr>
        <w:contextualSpacing/>
        <w:rPr>
          <w:rFonts w:asciiTheme="minorHAnsi" w:hAnsiTheme="minorHAnsi" w:cstheme="minorHAnsi"/>
          <w:sz w:val="22"/>
          <w:szCs w:val="22"/>
        </w:rPr>
      </w:pPr>
      <w:hyperlink r:id="rId41" w:history="1">
        <w:r w:rsidR="00F83AE0" w:rsidRPr="00504023">
          <w:rPr>
            <w:rStyle w:val="Hyperlink"/>
            <w:rFonts w:asciiTheme="minorHAnsi" w:hAnsiTheme="minorHAnsi" w:cstheme="minorHAnsi"/>
            <w:sz w:val="22"/>
            <w:szCs w:val="22"/>
          </w:rPr>
          <w:t>https://www.theglobalfund.org/media/5641/core_projectedtransitionsby2025_list_en.pdf?u=63657063671000000020</w:t>
        </w:r>
      </w:hyperlink>
    </w:p>
    <w:p w:rsidR="00421705" w:rsidRPr="00504023" w:rsidRDefault="00F13508" w:rsidP="00EF25FC">
      <w:pPr>
        <w:pStyle w:val="FootnoteText"/>
        <w:numPr>
          <w:ilvl w:val="0"/>
          <w:numId w:val="33"/>
        </w:numPr>
        <w:contextualSpacing/>
        <w:rPr>
          <w:rFonts w:asciiTheme="minorHAnsi" w:hAnsiTheme="minorHAnsi" w:cstheme="minorHAnsi"/>
          <w:sz w:val="22"/>
          <w:szCs w:val="22"/>
        </w:rPr>
      </w:pPr>
      <w:hyperlink r:id="rId42" w:history="1">
        <w:r w:rsidR="00F83AE0" w:rsidRPr="00504023">
          <w:rPr>
            <w:rStyle w:val="Hyperlink"/>
            <w:rFonts w:asciiTheme="minorHAnsi" w:hAnsiTheme="minorHAnsi" w:cstheme="minorHAnsi"/>
            <w:sz w:val="22"/>
            <w:szCs w:val="22"/>
          </w:rPr>
          <w:t>https://www.un.org/sustainabledevelopment/sustainable-development-goals/</w:t>
        </w:r>
      </w:hyperlink>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Integrated Bio-behavioral surveillance and population size estimation survey among Female Sex Workers in Tbilisi and Batumi, Georgia; Curatio International Foundation Center for Information and Counseling on Reproductive Health – Tanadgoma; </w:t>
      </w:r>
      <w:hyperlink r:id="rId43" w:history="1">
        <w:r w:rsidRPr="00504023">
          <w:rPr>
            <w:rStyle w:val="Hyperlink"/>
            <w:rFonts w:asciiTheme="minorHAnsi" w:hAnsiTheme="minorHAnsi" w:cstheme="minorHAnsi"/>
            <w:sz w:val="22"/>
            <w:szCs w:val="22"/>
          </w:rPr>
          <w:t>http://new.tanadgomaweb.ge/upfiles/dfltcontent/3/167.pdf</w:t>
        </w:r>
      </w:hyperlink>
      <w:r w:rsidRPr="00504023">
        <w:rPr>
          <w:rFonts w:asciiTheme="minorHAnsi" w:hAnsiTheme="minorHAnsi" w:cstheme="minorHAnsi"/>
          <w:sz w:val="22"/>
          <w:szCs w:val="22"/>
        </w:rPr>
        <w:t xml:space="preserve"> </w:t>
      </w:r>
    </w:p>
    <w:p w:rsidR="00421705" w:rsidRPr="00504023" w:rsidRDefault="00F83AE0" w:rsidP="00EF25FC">
      <w:pPr>
        <w:pStyle w:val="FootnoteText"/>
        <w:numPr>
          <w:ilvl w:val="0"/>
          <w:numId w:val="33"/>
        </w:numPr>
        <w:rPr>
          <w:rFonts w:asciiTheme="minorHAnsi" w:hAnsiTheme="minorHAnsi" w:cstheme="minorHAnsi"/>
          <w:sz w:val="22"/>
          <w:szCs w:val="22"/>
        </w:rPr>
      </w:pPr>
      <w:r w:rsidRPr="00504023">
        <w:rPr>
          <w:rFonts w:asciiTheme="minorHAnsi" w:hAnsiTheme="minorHAnsi" w:cstheme="minorHAnsi"/>
          <w:sz w:val="22"/>
          <w:szCs w:val="22"/>
        </w:rPr>
        <w:t xml:space="preserve">Law on Public Health </w:t>
      </w:r>
      <w:hyperlink r:id="rId44" w:history="1">
        <w:r w:rsidRPr="00504023">
          <w:rPr>
            <w:rStyle w:val="Hyperlink"/>
            <w:rFonts w:asciiTheme="minorHAnsi" w:hAnsiTheme="minorHAnsi" w:cstheme="minorHAnsi"/>
            <w:sz w:val="22"/>
            <w:szCs w:val="22"/>
          </w:rPr>
          <w:t>https://matsne.gov.ge/en/document/view/2805785</w:t>
        </w:r>
      </w:hyperlink>
    </w:p>
    <w:p w:rsidR="00FA7204"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National AIDS Center (Infectious Diseases, AIDS and Clinical Immunology Research Center) Data: </w:t>
      </w:r>
      <w:hyperlink r:id="rId45" w:history="1">
        <w:r w:rsidRPr="00504023">
          <w:rPr>
            <w:rStyle w:val="Hyperlink"/>
            <w:rFonts w:asciiTheme="minorHAnsi" w:hAnsiTheme="minorHAnsi" w:cstheme="minorHAnsi"/>
            <w:sz w:val="22"/>
            <w:szCs w:val="22"/>
          </w:rPr>
          <w:t>https://aidscenter.ge/epidsituation_eng.html</w:t>
        </w:r>
      </w:hyperlink>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National Bank of Georgia; </w:t>
      </w:r>
      <w:hyperlink r:id="rId46" w:history="1">
        <w:r w:rsidRPr="00504023">
          <w:rPr>
            <w:rStyle w:val="Hyperlink"/>
            <w:rFonts w:asciiTheme="minorHAnsi" w:hAnsiTheme="minorHAnsi" w:cstheme="minorHAnsi"/>
            <w:sz w:val="22"/>
            <w:szCs w:val="22"/>
          </w:rPr>
          <w:t>https://www.nbg.gov.ge/index.php?m=340&amp;newsid=3320</w:t>
        </w:r>
      </w:hyperlink>
      <w:r w:rsidRPr="00504023">
        <w:rPr>
          <w:rFonts w:asciiTheme="minorHAnsi" w:hAnsiTheme="minorHAnsi" w:cstheme="minorHAnsi"/>
          <w:sz w:val="22"/>
          <w:szCs w:val="22"/>
        </w:rPr>
        <w:t xml:space="preserve"> Accessed on April 10, 2018</w:t>
      </w:r>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Population Size Estimation of Female Sex Workers In Tbilisi and Batumi, Georgia 2014; Curatio International Foundation Center for Information and Counseling on Reproductive Health – Tanadgoma; </w:t>
      </w:r>
      <w:hyperlink r:id="rId47" w:history="1">
        <w:r w:rsidRPr="00504023">
          <w:rPr>
            <w:rStyle w:val="Hyperlink"/>
            <w:rFonts w:asciiTheme="minorHAnsi" w:hAnsiTheme="minorHAnsi" w:cstheme="minorHAnsi"/>
            <w:sz w:val="22"/>
            <w:szCs w:val="22"/>
          </w:rPr>
          <w:t>http://new.tanadgomaweb.ge/upfiles/dfltcontent/3/150.pdf</w:t>
        </w:r>
      </w:hyperlink>
      <w:r w:rsidRPr="00504023">
        <w:rPr>
          <w:rFonts w:asciiTheme="minorHAnsi" w:hAnsiTheme="minorHAnsi" w:cstheme="minorHAnsi"/>
          <w:sz w:val="22"/>
          <w:szCs w:val="22"/>
        </w:rPr>
        <w:t xml:space="preserve"> </w:t>
      </w:r>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Population Size Estimation of Men Who Have Sex with Men in Georgia, 2014; Curatio International Foundation Center for Information and Counseling on Reproductive Health – Tanadgoma; </w:t>
      </w:r>
      <w:hyperlink r:id="rId48" w:history="1">
        <w:r w:rsidRPr="00504023">
          <w:rPr>
            <w:rStyle w:val="Hyperlink"/>
            <w:rFonts w:asciiTheme="minorHAnsi" w:hAnsiTheme="minorHAnsi" w:cstheme="minorHAnsi"/>
            <w:sz w:val="22"/>
            <w:szCs w:val="22"/>
          </w:rPr>
          <w:t>http://www.georgia-ccm.ge/wp-content/uploads/MSM-PSE-09.12.2014_Geo.pdf</w:t>
        </w:r>
      </w:hyperlink>
      <w:r w:rsidRPr="00504023">
        <w:rPr>
          <w:rFonts w:asciiTheme="minorHAnsi" w:hAnsiTheme="minorHAnsi" w:cstheme="minorHAnsi"/>
          <w:sz w:val="22"/>
          <w:szCs w:val="22"/>
        </w:rPr>
        <w:t xml:space="preserve">  </w:t>
      </w:r>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sz w:val="22"/>
          <w:szCs w:val="22"/>
        </w:rPr>
        <w:t xml:space="preserve">Population Size Estimation of People Who Inject Drugs in Seven Cities of Georgia, 2016-2017, Bemoni Public Union(BPU); Curatio International Foundation (CIF) </w:t>
      </w:r>
    </w:p>
    <w:p w:rsidR="00421705" w:rsidRPr="00504023" w:rsidRDefault="00F83AE0" w:rsidP="00EF25FC">
      <w:pPr>
        <w:pStyle w:val="FootnoteText"/>
        <w:numPr>
          <w:ilvl w:val="0"/>
          <w:numId w:val="33"/>
        </w:numPr>
        <w:rPr>
          <w:rFonts w:asciiTheme="minorHAnsi" w:hAnsiTheme="minorHAnsi"/>
          <w:sz w:val="22"/>
          <w:szCs w:val="22"/>
        </w:rPr>
      </w:pPr>
      <w:r w:rsidRPr="00504023">
        <w:rPr>
          <w:rFonts w:asciiTheme="minorHAnsi" w:hAnsiTheme="minorHAnsi"/>
          <w:sz w:val="22"/>
          <w:szCs w:val="22"/>
        </w:rPr>
        <w:t>PWID PSE – Curatio International Foundation, 2017</w:t>
      </w:r>
    </w:p>
    <w:p w:rsidR="00421705" w:rsidRPr="00504023" w:rsidRDefault="00F83AE0" w:rsidP="00EF25FC">
      <w:pPr>
        <w:pStyle w:val="ListParagraph"/>
        <w:numPr>
          <w:ilvl w:val="0"/>
          <w:numId w:val="33"/>
        </w:numPr>
        <w:rPr>
          <w:rFonts w:asciiTheme="minorHAnsi" w:hAnsiTheme="minorHAnsi"/>
          <w:sz w:val="22"/>
          <w:szCs w:val="22"/>
        </w:rPr>
      </w:pPr>
      <w:r w:rsidRPr="00504023">
        <w:rPr>
          <w:rFonts w:asciiTheme="minorHAnsi" w:hAnsiTheme="minorHAnsi"/>
          <w:sz w:val="22"/>
          <w:szCs w:val="22"/>
        </w:rPr>
        <w:lastRenderedPageBreak/>
        <w:t xml:space="preserve">STRATEGIC PLAN FOR THE ELIMINATION OF HEPATITIS C VIRUS IN GEORGIA, 2016-2020. </w:t>
      </w:r>
      <w:hyperlink r:id="rId49" w:history="1">
        <w:r w:rsidRPr="00504023">
          <w:rPr>
            <w:rStyle w:val="Hyperlink"/>
            <w:rFonts w:asciiTheme="minorHAnsi" w:hAnsiTheme="minorHAnsi"/>
            <w:sz w:val="22"/>
            <w:szCs w:val="22"/>
          </w:rPr>
          <w:t>http://www.moh.gov.ge/uploads/files/2017/akordeoni/failebi/Georgia_HCV_Elimination_Strategy_2016-2020.pdf</w:t>
        </w:r>
      </w:hyperlink>
    </w:p>
    <w:p w:rsidR="00421705" w:rsidRPr="00504023" w:rsidRDefault="00F83AE0" w:rsidP="00EF25FC">
      <w:pPr>
        <w:pStyle w:val="FootnoteText"/>
        <w:numPr>
          <w:ilvl w:val="0"/>
          <w:numId w:val="33"/>
        </w:numPr>
        <w:rPr>
          <w:rFonts w:asciiTheme="minorHAnsi" w:hAnsiTheme="minorHAnsi"/>
          <w:color w:val="000000" w:themeColor="text1"/>
          <w:sz w:val="22"/>
          <w:szCs w:val="22"/>
        </w:rPr>
      </w:pPr>
      <w:r w:rsidRPr="00504023">
        <w:rPr>
          <w:rFonts w:asciiTheme="minorHAnsi" w:hAnsiTheme="minorHAnsi"/>
          <w:color w:val="000000" w:themeColor="text1"/>
          <w:sz w:val="22"/>
          <w:szCs w:val="22"/>
          <w:shd w:val="clear" w:color="auto" w:fill="FFFFFF"/>
        </w:rPr>
        <w:t xml:space="preserve">UNFPA, The Global Forum on MSM and HIV, UNDP, UNAIDS, WHO, USAID, PEPFAR, and Gates Foundation. </w:t>
      </w:r>
      <w:r w:rsidRPr="00504023">
        <w:rPr>
          <w:rFonts w:asciiTheme="minorHAnsi" w:hAnsiTheme="minorHAnsi" w:cstheme="minorHAnsi"/>
          <w:color w:val="000000" w:themeColor="text1"/>
          <w:sz w:val="22"/>
          <w:szCs w:val="22"/>
        </w:rPr>
        <w:t>Implementing comprehensive HIV and STI programs with men who have sex with men.</w:t>
      </w:r>
      <w:r w:rsidRPr="00504023">
        <w:rPr>
          <w:rStyle w:val="Hyperlink"/>
          <w:rFonts w:asciiTheme="minorHAnsi" w:hAnsiTheme="minorHAnsi"/>
          <w:color w:val="000000" w:themeColor="text1"/>
          <w:sz w:val="22"/>
          <w:szCs w:val="22"/>
        </w:rPr>
        <w:t xml:space="preserve"> </w:t>
      </w:r>
      <w:hyperlink r:id="rId50" w:history="1">
        <w:r w:rsidRPr="00504023">
          <w:rPr>
            <w:rStyle w:val="Hyperlink"/>
            <w:rFonts w:asciiTheme="minorHAnsi" w:hAnsiTheme="minorHAnsi"/>
            <w:color w:val="000000" w:themeColor="text1"/>
            <w:sz w:val="22"/>
            <w:szCs w:val="22"/>
          </w:rPr>
          <w:t>http://www.who.int/hiv/pub/toolkits/msm-implementation-tool/en/</w:t>
        </w:r>
      </w:hyperlink>
    </w:p>
    <w:p w:rsidR="00421705" w:rsidRPr="00504023" w:rsidRDefault="00F83AE0" w:rsidP="00EF25FC">
      <w:pPr>
        <w:pStyle w:val="FootnoteText"/>
        <w:numPr>
          <w:ilvl w:val="0"/>
          <w:numId w:val="33"/>
        </w:numPr>
        <w:rPr>
          <w:rFonts w:asciiTheme="minorHAnsi" w:hAnsiTheme="minorHAnsi"/>
          <w:color w:val="000000" w:themeColor="text1"/>
          <w:sz w:val="22"/>
          <w:szCs w:val="22"/>
        </w:rPr>
      </w:pPr>
      <w:r w:rsidRPr="00504023">
        <w:rPr>
          <w:rFonts w:asciiTheme="minorHAnsi" w:hAnsiTheme="minorHAnsi"/>
          <w:color w:val="000000" w:themeColor="text1"/>
          <w:sz w:val="22"/>
          <w:szCs w:val="22"/>
          <w:shd w:val="clear" w:color="auto" w:fill="FFFFFF"/>
        </w:rPr>
        <w:t xml:space="preserve">WHO; UNFPA; UNAIDS; NSWP; World Bank; UNDP. </w:t>
      </w:r>
      <w:r w:rsidRPr="00504023">
        <w:rPr>
          <w:rFonts w:asciiTheme="minorHAnsi" w:hAnsiTheme="minorHAnsi" w:cstheme="minorHAnsi"/>
          <w:color w:val="000000" w:themeColor="text1"/>
          <w:sz w:val="22"/>
          <w:szCs w:val="22"/>
        </w:rPr>
        <w:t>Implementing comprehensive HIV/STI programs with sex workers: practical approaches from collaborative interventions</w:t>
      </w:r>
      <w:r w:rsidR="00EC3402">
        <w:rPr>
          <w:rFonts w:asciiTheme="minorHAnsi" w:hAnsiTheme="minorHAnsi" w:cstheme="minorHAnsi"/>
          <w:color w:val="000000" w:themeColor="text1"/>
          <w:sz w:val="22"/>
          <w:szCs w:val="22"/>
        </w:rPr>
        <w:t xml:space="preserve">. </w:t>
      </w:r>
      <w:hyperlink r:id="rId51" w:history="1">
        <w:r w:rsidRPr="00504023">
          <w:rPr>
            <w:rStyle w:val="Hyperlink"/>
            <w:rFonts w:asciiTheme="minorHAnsi" w:hAnsiTheme="minorHAnsi"/>
            <w:color w:val="000000" w:themeColor="text1"/>
            <w:sz w:val="22"/>
            <w:szCs w:val="22"/>
          </w:rPr>
          <w:t>http://www.who.int/hiv/pub/sti/sex_worker_implementation/en/</w:t>
        </w:r>
      </w:hyperlink>
    </w:p>
    <w:p w:rsidR="00421705" w:rsidRPr="00504023" w:rsidRDefault="00F83AE0" w:rsidP="00EF25FC">
      <w:pPr>
        <w:pStyle w:val="FootnoteText"/>
        <w:numPr>
          <w:ilvl w:val="0"/>
          <w:numId w:val="33"/>
        </w:numPr>
        <w:rPr>
          <w:rFonts w:asciiTheme="minorHAnsi" w:hAnsiTheme="minorHAnsi"/>
          <w:color w:val="000000" w:themeColor="text1"/>
          <w:sz w:val="22"/>
          <w:szCs w:val="22"/>
        </w:rPr>
      </w:pPr>
      <w:r w:rsidRPr="00504023">
        <w:rPr>
          <w:rFonts w:asciiTheme="minorHAnsi" w:hAnsiTheme="minorHAnsi"/>
          <w:color w:val="000000" w:themeColor="text1"/>
          <w:sz w:val="22"/>
          <w:szCs w:val="22"/>
        </w:rPr>
        <w:t>World Drug Report 2017</w:t>
      </w:r>
    </w:p>
    <w:p w:rsidR="00421705" w:rsidRPr="00504023" w:rsidRDefault="00F83AE0" w:rsidP="00EF25FC">
      <w:pPr>
        <w:pStyle w:val="ListParagraph"/>
        <w:numPr>
          <w:ilvl w:val="0"/>
          <w:numId w:val="33"/>
        </w:numPr>
        <w:rPr>
          <w:rFonts w:asciiTheme="minorHAnsi" w:hAnsiTheme="minorHAnsi" w:cstheme="minorHAnsi"/>
          <w:noProof/>
          <w:sz w:val="22"/>
          <w:szCs w:val="22"/>
        </w:rPr>
      </w:pPr>
      <w:r w:rsidRPr="00504023">
        <w:rPr>
          <w:rFonts w:asciiTheme="minorHAnsi" w:hAnsiTheme="minorHAnsi" w:cstheme="minorHAnsi"/>
          <w:noProof/>
          <w:sz w:val="22"/>
          <w:szCs w:val="22"/>
        </w:rPr>
        <w:t>World Health Organization. Global Tuberculosis Report 2017. Geneva: WHO; 2017.</w:t>
      </w:r>
    </w:p>
    <w:p w:rsidR="00421705" w:rsidRPr="00504023" w:rsidRDefault="00F83AE0" w:rsidP="00EF25FC">
      <w:pPr>
        <w:pStyle w:val="FootnoteText"/>
        <w:numPr>
          <w:ilvl w:val="0"/>
          <w:numId w:val="33"/>
        </w:numPr>
        <w:contextualSpacing/>
        <w:rPr>
          <w:rFonts w:asciiTheme="minorHAnsi" w:hAnsiTheme="minorHAnsi" w:cstheme="minorHAnsi"/>
          <w:sz w:val="22"/>
          <w:szCs w:val="22"/>
        </w:rPr>
      </w:pPr>
      <w:r w:rsidRPr="00504023">
        <w:rPr>
          <w:rFonts w:asciiTheme="minorHAnsi" w:hAnsiTheme="minorHAnsi" w:cstheme="minorHAnsi"/>
          <w:noProof/>
          <w:sz w:val="22"/>
          <w:szCs w:val="22"/>
        </w:rPr>
        <w:t>World Health Organization. Tuberculosis country profiles (</w:t>
      </w:r>
      <w:hyperlink r:id="rId52" w:history="1">
        <w:r w:rsidRPr="00504023">
          <w:rPr>
            <w:rStyle w:val="Hyperlink"/>
            <w:rFonts w:asciiTheme="minorHAnsi" w:hAnsiTheme="minorHAnsi" w:cstheme="minorHAnsi"/>
            <w:noProof/>
            <w:sz w:val="22"/>
            <w:szCs w:val="22"/>
          </w:rPr>
          <w:t>http://www.who.int/tb/country/data/profiles/en/)</w:t>
        </w:r>
      </w:hyperlink>
      <w:r w:rsidRPr="00504023">
        <w:rPr>
          <w:rFonts w:asciiTheme="minorHAnsi" w:hAnsiTheme="minorHAnsi" w:cstheme="minorHAnsi"/>
          <w:noProof/>
          <w:sz w:val="22"/>
          <w:szCs w:val="22"/>
        </w:rPr>
        <w:t>. 2018 vol; 2018</w:t>
      </w:r>
    </w:p>
    <w:p w:rsidR="00421705" w:rsidRPr="00504023" w:rsidRDefault="00F83AE0" w:rsidP="00EF25FC">
      <w:pPr>
        <w:pStyle w:val="ListParagraph"/>
        <w:numPr>
          <w:ilvl w:val="0"/>
          <w:numId w:val="33"/>
        </w:numPr>
        <w:rPr>
          <w:rFonts w:asciiTheme="minorHAnsi" w:hAnsiTheme="minorHAnsi" w:cstheme="minorHAnsi"/>
          <w:noProof/>
          <w:sz w:val="22"/>
          <w:szCs w:val="22"/>
        </w:rPr>
      </w:pPr>
      <w:r w:rsidRPr="00504023">
        <w:rPr>
          <w:rFonts w:asciiTheme="minorHAnsi" w:hAnsiTheme="minorHAnsi" w:cstheme="minorHAnsi"/>
          <w:noProof/>
          <w:sz w:val="22"/>
          <w:szCs w:val="22"/>
        </w:rPr>
        <w:t>World Health Organization. World Tuberculosis Report 2016. Geneva: WHO; 2016.</w:t>
      </w:r>
    </w:p>
    <w:p w:rsidR="003818CF" w:rsidRPr="00504023" w:rsidRDefault="003818CF" w:rsidP="003B7A2A">
      <w:pPr>
        <w:rPr>
          <w:rFonts w:asciiTheme="minorHAnsi" w:hAnsiTheme="minorHAnsi" w:cstheme="minorHAnsi"/>
          <w:noProof/>
          <w:sz w:val="22"/>
          <w:szCs w:val="22"/>
        </w:rPr>
      </w:pPr>
    </w:p>
    <w:sectPr w:rsidR="003818CF" w:rsidRPr="00504023" w:rsidSect="00E844F0">
      <w:pgSz w:w="11900" w:h="16840"/>
      <w:pgMar w:top="1440" w:right="1440" w:bottom="108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508" w:rsidRDefault="00F13508">
      <w:r>
        <w:separator/>
      </w:r>
    </w:p>
  </w:endnote>
  <w:endnote w:type="continuationSeparator" w:id="0">
    <w:p w:rsidR="00F13508" w:rsidRDefault="00F1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Regular">
    <w:panose1 w:val="020B0609030804020204"/>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3298130"/>
      <w:docPartObj>
        <w:docPartGallery w:val="Page Numbers (Bottom of Page)"/>
        <w:docPartUnique/>
      </w:docPartObj>
    </w:sdtPr>
    <w:sdtEndPr>
      <w:rPr>
        <w:rStyle w:val="PageNumber"/>
      </w:rPr>
    </w:sdtEndPr>
    <w:sdtContent>
      <w:p w:rsidR="00F83AE0" w:rsidRDefault="00F83AE0" w:rsidP="003974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83AE0" w:rsidRDefault="00F83AE0" w:rsidP="004B25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2841469"/>
      <w:docPartObj>
        <w:docPartGallery w:val="Page Numbers (Bottom of Page)"/>
        <w:docPartUnique/>
      </w:docPartObj>
    </w:sdtPr>
    <w:sdtEndPr>
      <w:rPr>
        <w:rStyle w:val="PageNumber"/>
      </w:rPr>
    </w:sdtEndPr>
    <w:sdtContent>
      <w:p w:rsidR="00F83AE0" w:rsidRDefault="00F83AE0" w:rsidP="00802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4D6A">
          <w:rPr>
            <w:rStyle w:val="PageNumber"/>
            <w:noProof/>
          </w:rPr>
          <w:t>2</w:t>
        </w:r>
        <w:r>
          <w:rPr>
            <w:rStyle w:val="PageNumber"/>
          </w:rPr>
          <w:fldChar w:fldCharType="end"/>
        </w:r>
      </w:p>
    </w:sdtContent>
  </w:sdt>
  <w:p w:rsidR="00F83AE0" w:rsidRDefault="00F83AE0" w:rsidP="004B25C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1169833"/>
      <w:docPartObj>
        <w:docPartGallery w:val="Page Numbers (Bottom of Page)"/>
        <w:docPartUnique/>
      </w:docPartObj>
    </w:sdtPr>
    <w:sdtEndPr>
      <w:rPr>
        <w:rStyle w:val="PageNumber"/>
      </w:rPr>
    </w:sdtEndPr>
    <w:sdtContent>
      <w:p w:rsidR="00F83AE0" w:rsidRDefault="00F83AE0" w:rsidP="00A029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4D6A">
          <w:rPr>
            <w:rStyle w:val="PageNumber"/>
            <w:noProof/>
          </w:rPr>
          <w:t>43</w:t>
        </w:r>
        <w:r>
          <w:rPr>
            <w:rStyle w:val="PageNumber"/>
          </w:rPr>
          <w:fldChar w:fldCharType="end"/>
        </w:r>
      </w:p>
    </w:sdtContent>
  </w:sdt>
  <w:p w:rsidR="00F83AE0" w:rsidRDefault="00F83AE0" w:rsidP="004B25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508" w:rsidRDefault="00F13508" w:rsidP="002958E5">
      <w:r>
        <w:separator/>
      </w:r>
    </w:p>
  </w:footnote>
  <w:footnote w:type="continuationSeparator" w:id="0">
    <w:p w:rsidR="00F13508" w:rsidRDefault="00F13508" w:rsidP="002958E5">
      <w:r>
        <w:continuationSeparator/>
      </w:r>
    </w:p>
  </w:footnote>
  <w:footnote w:id="1">
    <w:p w:rsidR="00F83AE0" w:rsidRPr="009E66A4" w:rsidRDefault="00F83AE0" w:rsidP="005577ED">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Government of Georgia. Ordinance No 36. February 2013 </w:t>
      </w:r>
      <w:hyperlink r:id="rId1" w:history="1">
        <w:r w:rsidRPr="009E66A4">
          <w:rPr>
            <w:rStyle w:val="Hyperlink"/>
            <w:rFonts w:asciiTheme="minorHAnsi" w:hAnsiTheme="minorHAnsi" w:cstheme="minorHAnsi"/>
            <w:sz w:val="18"/>
            <w:szCs w:val="18"/>
          </w:rPr>
          <w:t>http://ssa.gov.ge/files/01_GEO/KANONMDEBLOBA/Kanon%20Qvemdebare/92.pdf</w:t>
        </w:r>
      </w:hyperlink>
    </w:p>
  </w:footnote>
  <w:footnote w:id="2">
    <w:p w:rsidR="00F83AE0" w:rsidRPr="009E66A4" w:rsidRDefault="00F83AE0" w:rsidP="005577ED">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Government of Georgia. Ordinance No 724. December 2014. </w:t>
      </w:r>
      <w:hyperlink r:id="rId2" w:history="1">
        <w:r w:rsidRPr="009E66A4">
          <w:rPr>
            <w:rStyle w:val="Hyperlink"/>
            <w:rFonts w:asciiTheme="minorHAnsi" w:hAnsiTheme="minorHAnsi" w:cstheme="minorHAnsi"/>
            <w:sz w:val="18"/>
            <w:szCs w:val="18"/>
          </w:rPr>
          <w:t>https://matsne.gov.ge/en/document/view/2657250</w:t>
        </w:r>
      </w:hyperlink>
    </w:p>
  </w:footnote>
  <w:footnote w:id="3">
    <w:p w:rsidR="00F83AE0" w:rsidRPr="009E66A4" w:rsidRDefault="00F83AE0" w:rsidP="005577ED">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The Georgia Law on the State Budget of Georgia, MoF, 2016. </w:t>
      </w:r>
    </w:p>
  </w:footnote>
  <w:footnote w:id="4">
    <w:p w:rsidR="00F83AE0" w:rsidRPr="009E66A4" w:rsidRDefault="00F83AE0" w:rsidP="00594F6E">
      <w:pPr>
        <w:pStyle w:val="FootnoteText"/>
        <w:contextualSpacing/>
        <w:rPr>
          <w:rFonts w:asciiTheme="minorHAnsi" w:hAnsiTheme="minorHAnsi" w:cstheme="minorHAnsi"/>
          <w:sz w:val="18"/>
          <w:szCs w:val="18"/>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National Bank of Georgia; </w:t>
      </w:r>
      <w:hyperlink r:id="rId3" w:history="1">
        <w:r w:rsidRPr="009E66A4">
          <w:rPr>
            <w:rStyle w:val="Hyperlink"/>
            <w:rFonts w:asciiTheme="minorHAnsi" w:hAnsiTheme="minorHAnsi" w:cstheme="minorHAnsi"/>
            <w:sz w:val="18"/>
            <w:szCs w:val="18"/>
          </w:rPr>
          <w:t>https://www.nbg.gov.ge/index.php?m=340&amp;newsid=3320</w:t>
        </w:r>
      </w:hyperlink>
      <w:r w:rsidRPr="009E66A4">
        <w:rPr>
          <w:rFonts w:asciiTheme="minorHAnsi" w:hAnsiTheme="minorHAnsi" w:cstheme="minorHAnsi"/>
          <w:sz w:val="18"/>
          <w:szCs w:val="18"/>
        </w:rPr>
        <w:t xml:space="preserve"> Accessed on April 10, 2018</w:t>
      </w:r>
    </w:p>
  </w:footnote>
  <w:footnote w:id="5">
    <w:p w:rsidR="00F83AE0" w:rsidRPr="009E66A4" w:rsidRDefault="00F83AE0" w:rsidP="005577ED">
      <w:pPr>
        <w:pStyle w:val="FootnoteText"/>
        <w:contextualSpacing/>
        <w:rPr>
          <w:rFonts w:asciiTheme="minorHAnsi" w:hAnsiTheme="minorHAnsi" w:cstheme="minorHAnsi"/>
          <w:sz w:val="22"/>
          <w:szCs w:val="22"/>
        </w:rPr>
      </w:pPr>
      <w:r w:rsidRPr="009E66A4">
        <w:rPr>
          <w:rStyle w:val="FootnoteReference"/>
          <w:rFonts w:asciiTheme="minorHAnsi" w:hAnsiTheme="minorHAnsi" w:cstheme="minorHAnsi"/>
          <w:sz w:val="18"/>
          <w:szCs w:val="18"/>
        </w:rPr>
        <w:footnoteRef/>
      </w:r>
      <w:r w:rsidRPr="009E66A4">
        <w:rPr>
          <w:rFonts w:asciiTheme="minorHAnsi" w:hAnsiTheme="minorHAnsi" w:cstheme="minorHAnsi"/>
          <w:sz w:val="18"/>
          <w:szCs w:val="18"/>
        </w:rPr>
        <w:t xml:space="preserve"> </w:t>
      </w:r>
      <w:hyperlink r:id="rId4" w:history="1">
        <w:r w:rsidRPr="009E66A4">
          <w:rPr>
            <w:rStyle w:val="Hyperlink"/>
            <w:rFonts w:asciiTheme="minorHAnsi" w:hAnsiTheme="minorHAnsi" w:cstheme="minorHAnsi"/>
            <w:sz w:val="18"/>
            <w:szCs w:val="18"/>
          </w:rPr>
          <w:t>https://www.theglobalfund.org/media/5641/core_projectedtransitionsby2025_list_en.pdf?u=63657063671000000020</w:t>
        </w:r>
      </w:hyperlink>
    </w:p>
  </w:footnote>
  <w:footnote w:id="6">
    <w:p w:rsidR="00F83AE0" w:rsidRPr="00CC72F3" w:rsidRDefault="00F83AE0">
      <w:pPr>
        <w:pStyle w:val="FootnoteText"/>
        <w:rPr>
          <w:rFonts w:asciiTheme="minorHAnsi" w:hAnsiTheme="minorHAnsi" w:cstheme="minorHAnsi"/>
          <w:sz w:val="18"/>
          <w:szCs w:val="18"/>
        </w:rPr>
      </w:pPr>
      <w:r w:rsidRPr="00CC72F3">
        <w:rPr>
          <w:rStyle w:val="FootnoteReference"/>
          <w:rFonts w:asciiTheme="minorHAnsi" w:hAnsiTheme="minorHAnsi" w:cstheme="minorHAnsi"/>
          <w:sz w:val="18"/>
          <w:szCs w:val="18"/>
        </w:rPr>
        <w:footnoteRef/>
      </w:r>
      <w:r w:rsidRPr="00CC72F3">
        <w:rPr>
          <w:rFonts w:asciiTheme="minorHAnsi" w:hAnsiTheme="minorHAnsi" w:cstheme="minorHAnsi"/>
          <w:sz w:val="18"/>
          <w:szCs w:val="18"/>
        </w:rPr>
        <w:t xml:space="preserve"> Georgia Transition Plan.</w:t>
      </w:r>
      <w:r>
        <w:rPr>
          <w:rFonts w:asciiTheme="minorHAnsi" w:hAnsiTheme="minorHAnsi" w:cstheme="minorHAnsi"/>
          <w:sz w:val="18"/>
          <w:szCs w:val="18"/>
        </w:rPr>
        <w:t xml:space="preserve"> Curatio International Foundation. 2016</w:t>
      </w:r>
    </w:p>
  </w:footnote>
  <w:footnote w:id="7">
    <w:p w:rsidR="00F83AE0" w:rsidRPr="00393FD5" w:rsidRDefault="00F83AE0">
      <w:pPr>
        <w:pStyle w:val="FootnoteText"/>
        <w:rPr>
          <w:rFonts w:asciiTheme="minorHAnsi" w:hAnsiTheme="minorHAnsi" w:cstheme="minorHAnsi"/>
          <w:sz w:val="18"/>
          <w:szCs w:val="18"/>
        </w:rPr>
      </w:pPr>
      <w:r w:rsidRPr="00393FD5">
        <w:rPr>
          <w:rStyle w:val="FootnoteReference"/>
          <w:rFonts w:asciiTheme="minorHAnsi" w:hAnsiTheme="minorHAnsi" w:cstheme="minorHAnsi"/>
          <w:sz w:val="18"/>
          <w:szCs w:val="18"/>
        </w:rPr>
        <w:footnoteRef/>
      </w:r>
      <w:r w:rsidRPr="00393FD5">
        <w:rPr>
          <w:rFonts w:asciiTheme="minorHAnsi" w:hAnsiTheme="minorHAnsi" w:cstheme="minorHAnsi"/>
          <w:sz w:val="18"/>
          <w:szCs w:val="18"/>
        </w:rPr>
        <w:t xml:space="preserve"> Law on Public Health https://matsne.gov.ge/en/document/view/2805785</w:t>
      </w:r>
    </w:p>
  </w:footnote>
  <w:footnote w:id="8">
    <w:p w:rsidR="00F83AE0" w:rsidRPr="00393FD5" w:rsidRDefault="00F83AE0">
      <w:pPr>
        <w:pStyle w:val="FootnoteText"/>
        <w:rPr>
          <w:rFonts w:asciiTheme="minorHAnsi" w:hAnsiTheme="minorHAnsi" w:cstheme="minorHAnsi"/>
          <w:sz w:val="18"/>
          <w:szCs w:val="18"/>
        </w:rPr>
      </w:pPr>
      <w:r w:rsidRPr="00393FD5">
        <w:rPr>
          <w:rStyle w:val="FootnoteReference"/>
          <w:rFonts w:asciiTheme="minorHAnsi" w:hAnsiTheme="minorHAnsi" w:cstheme="minorHAnsi"/>
          <w:sz w:val="18"/>
          <w:szCs w:val="18"/>
        </w:rPr>
        <w:footnoteRef/>
      </w:r>
      <w:r w:rsidRPr="00393FD5">
        <w:rPr>
          <w:rFonts w:asciiTheme="minorHAnsi" w:hAnsiTheme="minorHAnsi" w:cstheme="minorHAnsi"/>
          <w:sz w:val="18"/>
          <w:szCs w:val="18"/>
        </w:rPr>
        <w:t xml:space="preserve"> Georgia Law on State Budget https://matsne.gov.ge/ka/document/view/3938064</w:t>
      </w:r>
    </w:p>
  </w:footnote>
  <w:footnote w:id="9">
    <w:p w:rsidR="00F83AE0" w:rsidRPr="00393FD5" w:rsidRDefault="00F83AE0">
      <w:pPr>
        <w:pStyle w:val="FootnoteText"/>
        <w:rPr>
          <w:rFonts w:asciiTheme="minorHAnsi" w:hAnsiTheme="minorHAnsi" w:cstheme="minorHAnsi"/>
          <w:sz w:val="18"/>
          <w:szCs w:val="18"/>
        </w:rPr>
      </w:pPr>
      <w:r w:rsidRPr="00393FD5">
        <w:rPr>
          <w:rStyle w:val="FootnoteReference"/>
          <w:rFonts w:asciiTheme="minorHAnsi" w:hAnsiTheme="minorHAnsi" w:cstheme="minorHAnsi"/>
          <w:sz w:val="18"/>
          <w:szCs w:val="18"/>
        </w:rPr>
        <w:footnoteRef/>
      </w:r>
      <w:r w:rsidRPr="00393FD5">
        <w:rPr>
          <w:rFonts w:asciiTheme="minorHAnsi" w:hAnsiTheme="minorHAnsi" w:cstheme="minorHAnsi"/>
          <w:sz w:val="18"/>
          <w:szCs w:val="18"/>
        </w:rPr>
        <w:t xml:space="preserve"> </w:t>
      </w:r>
      <w:r w:rsidRPr="00393FD5">
        <w:rPr>
          <w:rFonts w:asciiTheme="minorHAnsi" w:eastAsia="Sylfaen" w:hAnsiTheme="minorHAnsi" w:cstheme="minorHAnsi"/>
          <w:color w:val="000000"/>
          <w:sz w:val="18"/>
          <w:szCs w:val="18"/>
        </w:rPr>
        <w:t>Article 356 of the EU Georgia Association Agreement</w:t>
      </w:r>
    </w:p>
  </w:footnote>
  <w:footnote w:id="10">
    <w:p w:rsidR="00F83AE0" w:rsidRPr="008E26E3" w:rsidRDefault="00F83AE0" w:rsidP="005577ED">
      <w:pPr>
        <w:pStyle w:val="FootnoteText"/>
        <w:contextualSpacing/>
        <w:rPr>
          <w:rFonts w:cstheme="minorHAnsi"/>
          <w:sz w:val="18"/>
          <w:szCs w:val="18"/>
        </w:rPr>
      </w:pPr>
      <w:r w:rsidRPr="008E26E3">
        <w:rPr>
          <w:rStyle w:val="FootnoteReference"/>
          <w:rFonts w:cstheme="minorHAnsi"/>
          <w:sz w:val="18"/>
          <w:szCs w:val="18"/>
        </w:rPr>
        <w:footnoteRef/>
      </w:r>
      <w:r w:rsidRPr="008E26E3">
        <w:rPr>
          <w:rFonts w:cstheme="minorHAnsi"/>
          <w:sz w:val="18"/>
          <w:szCs w:val="18"/>
        </w:rPr>
        <w:t xml:space="preserve"> </w:t>
      </w:r>
      <w:hyperlink r:id="rId5" w:history="1">
        <w:r w:rsidRPr="008E26E3">
          <w:rPr>
            <w:rStyle w:val="Hyperlink"/>
            <w:rFonts w:cstheme="minorHAnsi"/>
            <w:sz w:val="18"/>
            <w:szCs w:val="18"/>
          </w:rPr>
          <w:t>https://www.un.org/sustainabledevelopment/sustainable-development-goals/</w:t>
        </w:r>
      </w:hyperlink>
    </w:p>
  </w:footnote>
  <w:footnote w:id="11">
    <w:p w:rsidR="00F83AE0" w:rsidRPr="008E26E3" w:rsidRDefault="00F83AE0" w:rsidP="000A4F31">
      <w:pPr>
        <w:pStyle w:val="Heading3"/>
        <w:shd w:val="clear" w:color="auto" w:fill="FFFFFF"/>
        <w:spacing w:before="0"/>
        <w:contextualSpacing/>
        <w:rPr>
          <w:rFonts w:asciiTheme="minorHAnsi" w:eastAsia="Times New Roman" w:hAnsiTheme="minorHAnsi" w:cstheme="minorHAnsi"/>
          <w:color w:val="000000"/>
          <w:spacing w:val="17"/>
          <w:sz w:val="18"/>
          <w:szCs w:val="18"/>
        </w:rPr>
      </w:pPr>
      <w:r w:rsidRPr="008E26E3">
        <w:rPr>
          <w:rStyle w:val="FootnoteReference"/>
          <w:rFonts w:asciiTheme="minorHAnsi" w:hAnsiTheme="minorHAnsi" w:cstheme="minorHAnsi"/>
          <w:sz w:val="18"/>
          <w:szCs w:val="18"/>
        </w:rPr>
        <w:footnoteRef/>
      </w:r>
      <w:r w:rsidRPr="008E26E3">
        <w:rPr>
          <w:rFonts w:asciiTheme="minorHAnsi" w:hAnsiTheme="minorHAnsi" w:cstheme="minorHAnsi"/>
          <w:sz w:val="18"/>
          <w:szCs w:val="18"/>
        </w:rPr>
        <w:t xml:space="preserve"> </w:t>
      </w:r>
      <w:r w:rsidRPr="008E26E3">
        <w:rPr>
          <w:rFonts w:asciiTheme="minorHAnsi" w:eastAsia="Times New Roman" w:hAnsiTheme="minorHAnsi" w:cstheme="minorHAnsi"/>
          <w:color w:val="000000"/>
          <w:spacing w:val="17"/>
          <w:sz w:val="18"/>
          <w:szCs w:val="18"/>
        </w:rPr>
        <w:t xml:space="preserve">90–90–90 - An ambitious treatment target to help end the AIDS epidemic. </w:t>
      </w:r>
      <w:hyperlink r:id="rId6" w:history="1">
        <w:r w:rsidRPr="008E26E3">
          <w:rPr>
            <w:rStyle w:val="Hyperlink"/>
            <w:rFonts w:asciiTheme="minorHAnsi" w:eastAsia="Times New Roman" w:hAnsiTheme="minorHAnsi" w:cstheme="minorHAnsi"/>
            <w:spacing w:val="17"/>
            <w:sz w:val="18"/>
            <w:szCs w:val="18"/>
          </w:rPr>
          <w:t>http://www.unaids.org/en/resources/documents/2017/90-90-90</w:t>
        </w:r>
      </w:hyperlink>
    </w:p>
  </w:footnote>
  <w:footnote w:id="12">
    <w:p w:rsidR="00F83AE0" w:rsidRPr="00FA15FE" w:rsidRDefault="00F83AE0" w:rsidP="005577ED">
      <w:pPr>
        <w:pStyle w:val="FootnoteText"/>
        <w:contextualSpacing/>
        <w:rPr>
          <w:rFonts w:asciiTheme="minorHAnsi" w:hAnsiTheme="minorHAnsi" w:cstheme="minorHAnsi"/>
          <w:sz w:val="18"/>
          <w:szCs w:val="18"/>
        </w:rPr>
      </w:pPr>
      <w:r w:rsidRPr="00FA15FE">
        <w:rPr>
          <w:rStyle w:val="FootnoteReference"/>
          <w:rFonts w:asciiTheme="minorHAnsi" w:hAnsiTheme="minorHAnsi" w:cstheme="minorHAnsi"/>
          <w:sz w:val="18"/>
          <w:szCs w:val="18"/>
        </w:rPr>
        <w:footnoteRef/>
      </w:r>
      <w:r w:rsidRPr="00FA15FE">
        <w:rPr>
          <w:rFonts w:asciiTheme="minorHAnsi" w:hAnsiTheme="minorHAnsi" w:cstheme="minorHAnsi"/>
          <w:sz w:val="18"/>
          <w:szCs w:val="18"/>
        </w:rPr>
        <w:t xml:space="preserve"> </w:t>
      </w:r>
      <w:hyperlink r:id="rId7" w:history="1">
        <w:r w:rsidRPr="00FA15FE">
          <w:rPr>
            <w:rStyle w:val="Hyperlink"/>
            <w:rFonts w:asciiTheme="minorHAnsi" w:hAnsiTheme="minorHAnsi" w:cstheme="minorHAnsi"/>
            <w:sz w:val="18"/>
            <w:szCs w:val="18"/>
          </w:rPr>
          <w:t>https://aidscenter.ge/epidsituation_eng.html</w:t>
        </w:r>
      </w:hyperlink>
    </w:p>
  </w:footnote>
  <w:footnote w:id="13">
    <w:p w:rsidR="00F83AE0" w:rsidRPr="00164855" w:rsidRDefault="00F83AE0"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Population Size Estimation of Men Who Have Sex with Men in Georgia, 2014; Curatio International Foundation Center for Information and Counseling on Reproductive Health – Tanadgoma; </w:t>
      </w:r>
      <w:hyperlink r:id="rId8" w:history="1">
        <w:r w:rsidRPr="00164855">
          <w:rPr>
            <w:rStyle w:val="Hyperlink"/>
            <w:rFonts w:asciiTheme="minorHAnsi" w:hAnsiTheme="minorHAnsi" w:cstheme="minorHAnsi"/>
            <w:sz w:val="18"/>
            <w:szCs w:val="18"/>
          </w:rPr>
          <w:t>http://www.georgia-ccm.ge/wp-content/uploads/MSM-PSE-09.12.2014_Geo.pdf</w:t>
        </w:r>
      </w:hyperlink>
      <w:r w:rsidRPr="00164855">
        <w:rPr>
          <w:rFonts w:asciiTheme="minorHAnsi" w:hAnsiTheme="minorHAnsi" w:cstheme="minorHAnsi"/>
          <w:sz w:val="18"/>
          <w:szCs w:val="18"/>
        </w:rPr>
        <w:t xml:space="preserve">  </w:t>
      </w:r>
    </w:p>
  </w:footnote>
  <w:footnote w:id="14">
    <w:p w:rsidR="00F83AE0" w:rsidRPr="00164855" w:rsidRDefault="00F83AE0"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w:t>
      </w:r>
      <w:hyperlink r:id="rId9" w:history="1">
        <w:r w:rsidRPr="00164855">
          <w:rPr>
            <w:rStyle w:val="Hyperlink"/>
            <w:rFonts w:asciiTheme="minorHAnsi" w:hAnsiTheme="minorHAnsi" w:cstheme="minorHAnsi"/>
            <w:sz w:val="18"/>
            <w:szCs w:val="18"/>
          </w:rPr>
          <w:t>http://www.unaids.org/en/regionscountries/countries/georgia</w:t>
        </w:r>
      </w:hyperlink>
      <w:r w:rsidRPr="00164855">
        <w:rPr>
          <w:rFonts w:asciiTheme="minorHAnsi" w:hAnsiTheme="minorHAnsi" w:cstheme="minorHAnsi"/>
          <w:sz w:val="18"/>
          <w:szCs w:val="18"/>
        </w:rPr>
        <w:t xml:space="preserve"> </w:t>
      </w:r>
    </w:p>
  </w:footnote>
  <w:footnote w:id="15">
    <w:p w:rsidR="00F83AE0" w:rsidRPr="00962177" w:rsidRDefault="00F83AE0" w:rsidP="00962177">
      <w:pPr>
        <w:rPr>
          <w:rFonts w:asciiTheme="minorHAnsi" w:hAnsiTheme="minorHAnsi" w:cstheme="minorHAnsi"/>
          <w:noProof/>
          <w:sz w:val="18"/>
          <w:szCs w:val="18"/>
          <w:lang w:val="ka-GE"/>
        </w:rPr>
      </w:pPr>
      <w:r w:rsidRPr="00FB7984">
        <w:rPr>
          <w:rStyle w:val="FootnoteReference"/>
          <w:rFonts w:asciiTheme="minorHAnsi" w:hAnsiTheme="minorHAnsi" w:cstheme="minorHAnsi"/>
          <w:sz w:val="18"/>
          <w:szCs w:val="18"/>
        </w:rPr>
        <w:footnoteRef/>
      </w:r>
      <w:r>
        <w:t xml:space="preserve"> </w:t>
      </w:r>
      <w:r w:rsidRPr="00962177">
        <w:rPr>
          <w:rFonts w:asciiTheme="minorHAnsi" w:hAnsiTheme="minorHAnsi" w:cstheme="minorHAnsi"/>
          <w:noProof/>
          <w:sz w:val="18"/>
          <w:szCs w:val="18"/>
          <w:lang w:val="ka-GE"/>
        </w:rPr>
        <w:t>Chokoshvili O, Kepuladze K, Tsintsadze M et al. High prevalence and incidence of HIV, syphilis and viral hepatitis among men who have sex with men in Georgia: Findings of the Georgian MSM Cohort. 16th European AIDS Conference. Milan, Italy; 2017.</w:t>
      </w:r>
    </w:p>
    <w:p w:rsidR="00F83AE0" w:rsidRPr="00962177" w:rsidRDefault="00F83AE0" w:rsidP="00962177">
      <w:pPr>
        <w:pStyle w:val="CommentText"/>
        <w:rPr>
          <w:sz w:val="2"/>
          <w:szCs w:val="2"/>
          <w:lang w:val="ka-GE"/>
        </w:rPr>
      </w:pPr>
    </w:p>
    <w:p w:rsidR="00F83AE0" w:rsidRPr="00962177" w:rsidRDefault="00F83AE0">
      <w:pPr>
        <w:pStyle w:val="FootnoteText"/>
        <w:rPr>
          <w:sz w:val="2"/>
          <w:szCs w:val="2"/>
        </w:rPr>
      </w:pPr>
    </w:p>
  </w:footnote>
  <w:footnote w:id="16">
    <w:p w:rsidR="00F83AE0" w:rsidRPr="00164855" w:rsidRDefault="00F83AE0"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Population Size Estimation of People Who Inject Drugs in Seven Cities of Georgia, 2016-2017, Bemoni Public Union(BPU); Curatio International Foundation (CIF) </w:t>
      </w:r>
    </w:p>
  </w:footnote>
  <w:footnote w:id="17">
    <w:p w:rsidR="00F83AE0" w:rsidRPr="00164855" w:rsidRDefault="00F83AE0"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Population Size Estimation of Female Sex Workers In Tbilisi and Batumi, Georgia 2014; Curatio International Foundation Center for Information and Counseling on Reproductive Health – Tanadgoma; </w:t>
      </w:r>
      <w:hyperlink r:id="rId10" w:history="1">
        <w:r w:rsidRPr="00164855">
          <w:rPr>
            <w:rStyle w:val="Hyperlink"/>
            <w:rFonts w:asciiTheme="minorHAnsi" w:hAnsiTheme="minorHAnsi" w:cstheme="minorHAnsi"/>
            <w:sz w:val="18"/>
            <w:szCs w:val="18"/>
          </w:rPr>
          <w:t>http://new.tanadgomaweb.ge/upfiles/dfltcontent/3/150.pdf</w:t>
        </w:r>
      </w:hyperlink>
      <w:r w:rsidRPr="00164855">
        <w:rPr>
          <w:rFonts w:asciiTheme="minorHAnsi" w:hAnsiTheme="minorHAnsi" w:cstheme="minorHAnsi"/>
          <w:sz w:val="18"/>
          <w:szCs w:val="18"/>
        </w:rPr>
        <w:t xml:space="preserve"> </w:t>
      </w:r>
    </w:p>
  </w:footnote>
  <w:footnote w:id="18">
    <w:p w:rsidR="00F83AE0" w:rsidRPr="00164855" w:rsidRDefault="00F83AE0"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Integrated Bio-behavioral surveillance and population size estimation survey among Female Sex Workers in Tbilisi and Batumi, Georgia; Curatio International Foundation Center for Information and Counseling on Reproductive Health – Tanadgoma; </w:t>
      </w:r>
      <w:hyperlink r:id="rId11" w:history="1">
        <w:r w:rsidRPr="00164855">
          <w:rPr>
            <w:rStyle w:val="Hyperlink"/>
            <w:rFonts w:asciiTheme="minorHAnsi" w:hAnsiTheme="minorHAnsi" w:cstheme="minorHAnsi"/>
            <w:sz w:val="18"/>
            <w:szCs w:val="18"/>
          </w:rPr>
          <w:t>http://new.tanadgomaweb.ge/upfiles/dfltcontent/3/167.pdf</w:t>
        </w:r>
      </w:hyperlink>
      <w:r w:rsidRPr="00164855">
        <w:rPr>
          <w:rFonts w:asciiTheme="minorHAnsi" w:hAnsiTheme="minorHAnsi" w:cstheme="minorHAnsi"/>
          <w:sz w:val="18"/>
          <w:szCs w:val="18"/>
        </w:rPr>
        <w:t xml:space="preserve"> </w:t>
      </w:r>
    </w:p>
  </w:footnote>
  <w:footnote w:id="19">
    <w:p w:rsidR="00F83AE0" w:rsidRPr="00164855" w:rsidRDefault="00F83AE0" w:rsidP="005577ED">
      <w:pPr>
        <w:pStyle w:val="FootnoteText"/>
        <w:contextualSpacing/>
        <w:rPr>
          <w:rFonts w:asciiTheme="minorHAnsi" w:hAnsiTheme="minorHAnsi" w:cstheme="minorHAnsi"/>
          <w:sz w:val="18"/>
          <w:szCs w:val="18"/>
        </w:rPr>
      </w:pPr>
      <w:r w:rsidRPr="00164855">
        <w:rPr>
          <w:rStyle w:val="FootnoteReference"/>
          <w:rFonts w:asciiTheme="minorHAnsi" w:hAnsiTheme="minorHAnsi" w:cstheme="minorHAnsi"/>
          <w:sz w:val="18"/>
          <w:szCs w:val="18"/>
        </w:rPr>
        <w:footnoteRef/>
      </w:r>
      <w:r w:rsidRPr="00164855">
        <w:rPr>
          <w:rFonts w:asciiTheme="minorHAnsi" w:hAnsiTheme="minorHAnsi" w:cstheme="minorHAnsi"/>
          <w:sz w:val="18"/>
          <w:szCs w:val="18"/>
        </w:rPr>
        <w:t xml:space="preserve"> HIV risk and prevention behaviors among Prison Inmates in Georgia; Curatio International Foundation Center for Information and Counseling on Reproductive Health – Tanadgoma; </w:t>
      </w:r>
      <w:hyperlink r:id="rId12" w:history="1">
        <w:r w:rsidRPr="00164855">
          <w:rPr>
            <w:rStyle w:val="Hyperlink"/>
            <w:rFonts w:asciiTheme="minorHAnsi" w:hAnsiTheme="minorHAnsi" w:cstheme="minorHAnsi"/>
            <w:sz w:val="18"/>
            <w:szCs w:val="18"/>
          </w:rPr>
          <w:t>http://new.tanadgomaweb.ge/upfiles/dfltcontent/3/157.pdf</w:t>
        </w:r>
      </w:hyperlink>
      <w:r w:rsidRPr="00164855">
        <w:rPr>
          <w:rFonts w:asciiTheme="minorHAnsi" w:hAnsiTheme="minorHAnsi" w:cstheme="minorHAnsi"/>
          <w:sz w:val="18"/>
          <w:szCs w:val="18"/>
        </w:rPr>
        <w:t xml:space="preserve"> </w:t>
      </w:r>
    </w:p>
  </w:footnote>
  <w:footnote w:id="20">
    <w:p w:rsidR="00F83AE0" w:rsidRPr="00506C44" w:rsidRDefault="00F83AE0">
      <w:pPr>
        <w:pStyle w:val="FootnoteText"/>
        <w:rPr>
          <w:rFonts w:asciiTheme="minorHAnsi" w:hAnsiTheme="minorHAnsi" w:cstheme="minorHAnsi"/>
          <w:sz w:val="18"/>
          <w:szCs w:val="18"/>
        </w:rPr>
      </w:pPr>
      <w:r w:rsidRPr="00506C44">
        <w:rPr>
          <w:rStyle w:val="FootnoteReference"/>
          <w:rFonts w:asciiTheme="minorHAnsi" w:hAnsiTheme="minorHAnsi" w:cstheme="minorHAnsi"/>
          <w:sz w:val="18"/>
          <w:szCs w:val="18"/>
        </w:rPr>
        <w:footnoteRef/>
      </w:r>
      <w:r w:rsidRPr="00506C44">
        <w:rPr>
          <w:rFonts w:asciiTheme="minorHAnsi" w:hAnsiTheme="minorHAnsi" w:cstheme="minorHAnsi"/>
          <w:sz w:val="18"/>
          <w:szCs w:val="18"/>
        </w:rPr>
        <w:t xml:space="preserve"> National AIDS Center</w:t>
      </w:r>
    </w:p>
  </w:footnote>
  <w:footnote w:id="21">
    <w:p w:rsidR="00F83AE0" w:rsidRPr="000B7804" w:rsidRDefault="00F83AE0" w:rsidP="00783ECB">
      <w:pPr>
        <w:pStyle w:val="FootnoteText"/>
        <w:contextualSpacing/>
        <w:rPr>
          <w:rFonts w:asciiTheme="minorHAnsi" w:hAnsiTheme="minorHAnsi" w:cstheme="minorHAnsi"/>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 xml:space="preserve">Chkhartishvili N, Sharvadze L, Chokoshvili O et al. Mortality and causes of death among HIV-infected individuals in the country of Georgia: 1989-2012. </w:t>
      </w:r>
      <w:r w:rsidRPr="000B7804">
        <w:rPr>
          <w:rFonts w:asciiTheme="minorHAnsi" w:hAnsiTheme="minorHAnsi" w:cstheme="minorHAnsi"/>
          <w:i/>
          <w:noProof/>
          <w:sz w:val="18"/>
          <w:szCs w:val="18"/>
        </w:rPr>
        <w:t>AIDS Res Hum Retroviruses</w:t>
      </w:r>
      <w:r w:rsidRPr="000B7804">
        <w:rPr>
          <w:rFonts w:asciiTheme="minorHAnsi" w:hAnsiTheme="minorHAnsi" w:cstheme="minorHAnsi"/>
          <w:noProof/>
          <w:sz w:val="18"/>
          <w:szCs w:val="18"/>
        </w:rPr>
        <w:t>. 2014;30:560-6.</w:t>
      </w:r>
    </w:p>
  </w:footnote>
  <w:footnote w:id="22">
    <w:p w:rsidR="00F83AE0" w:rsidRPr="000B7804" w:rsidRDefault="00F83AE0" w:rsidP="00783ECB">
      <w:pPr>
        <w:contextualSpacing/>
        <w:rPr>
          <w:rFonts w:asciiTheme="minorHAnsi" w:hAnsiTheme="minorHAnsi" w:cstheme="minorHAnsi"/>
          <w:noProof/>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World Health Organization. World Tuberculosis Report 2016. Geneva: WHO; 2016.</w:t>
      </w:r>
    </w:p>
  </w:footnote>
  <w:footnote w:id="23">
    <w:p w:rsidR="00F83AE0" w:rsidRPr="000B7804" w:rsidRDefault="00F83AE0" w:rsidP="00783ECB">
      <w:pPr>
        <w:pStyle w:val="FootnoteText"/>
        <w:contextualSpacing/>
        <w:rPr>
          <w:rFonts w:asciiTheme="minorHAnsi" w:hAnsiTheme="minorHAnsi" w:cstheme="minorHAnsi"/>
          <w:sz w:val="2"/>
          <w:szCs w:val="2"/>
        </w:rPr>
      </w:pPr>
    </w:p>
  </w:footnote>
  <w:footnote w:id="24">
    <w:p w:rsidR="00F83AE0" w:rsidRPr="000B7804" w:rsidRDefault="00F83AE0" w:rsidP="00783ECB">
      <w:pPr>
        <w:contextualSpacing/>
        <w:rPr>
          <w:rFonts w:asciiTheme="minorHAnsi" w:hAnsiTheme="minorHAnsi" w:cstheme="minorHAnsi"/>
          <w:noProof/>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World Health Organization. Global Tuberculosis Report 2017. Geneva: WHO; 2017.</w:t>
      </w:r>
    </w:p>
  </w:footnote>
  <w:footnote w:id="25">
    <w:p w:rsidR="00F83AE0" w:rsidRPr="000B7804" w:rsidRDefault="00F83AE0" w:rsidP="00783ECB">
      <w:pPr>
        <w:pStyle w:val="FootnoteText"/>
        <w:contextualSpacing/>
        <w:rPr>
          <w:rFonts w:asciiTheme="minorHAnsi" w:hAnsiTheme="minorHAnsi" w:cstheme="minorHAnsi"/>
          <w:sz w:val="2"/>
          <w:szCs w:val="2"/>
        </w:rPr>
      </w:pPr>
    </w:p>
  </w:footnote>
  <w:footnote w:id="26">
    <w:p w:rsidR="00F83AE0" w:rsidRPr="000B7804" w:rsidRDefault="00F83AE0" w:rsidP="00783ECB">
      <w:pPr>
        <w:pStyle w:val="FootnoteText"/>
        <w:contextualSpacing/>
        <w:rPr>
          <w:rFonts w:asciiTheme="minorHAnsi" w:hAnsiTheme="minorHAnsi" w:cstheme="minorHAnsi"/>
          <w:sz w:val="18"/>
          <w:szCs w:val="18"/>
        </w:rPr>
      </w:pPr>
      <w:r w:rsidRPr="000B7804">
        <w:rPr>
          <w:rStyle w:val="FootnoteReference"/>
          <w:rFonts w:asciiTheme="minorHAnsi" w:hAnsiTheme="minorHAnsi" w:cstheme="minorHAnsi"/>
          <w:sz w:val="18"/>
          <w:szCs w:val="18"/>
        </w:rPr>
        <w:footnoteRef/>
      </w:r>
      <w:r w:rsidRPr="000B7804">
        <w:rPr>
          <w:rFonts w:asciiTheme="minorHAnsi" w:hAnsiTheme="minorHAnsi" w:cstheme="minorHAnsi"/>
          <w:sz w:val="18"/>
          <w:szCs w:val="18"/>
        </w:rPr>
        <w:t xml:space="preserve"> </w:t>
      </w:r>
      <w:r w:rsidRPr="000B7804">
        <w:rPr>
          <w:rFonts w:asciiTheme="minorHAnsi" w:hAnsiTheme="minorHAnsi" w:cstheme="minorHAnsi"/>
          <w:noProof/>
          <w:sz w:val="18"/>
          <w:szCs w:val="18"/>
        </w:rPr>
        <w:t>World Health Organization. Tuberculosis country profiles (</w:t>
      </w:r>
      <w:hyperlink r:id="rId13" w:history="1">
        <w:r w:rsidRPr="000B7804">
          <w:rPr>
            <w:rStyle w:val="Hyperlink"/>
            <w:rFonts w:asciiTheme="minorHAnsi" w:hAnsiTheme="minorHAnsi" w:cstheme="minorHAnsi"/>
            <w:noProof/>
            <w:sz w:val="18"/>
            <w:szCs w:val="18"/>
          </w:rPr>
          <w:t>http://www.who.int/tb/country/data/profiles/en/)</w:t>
        </w:r>
      </w:hyperlink>
      <w:r w:rsidRPr="000B7804">
        <w:rPr>
          <w:rFonts w:asciiTheme="minorHAnsi" w:hAnsiTheme="minorHAnsi" w:cstheme="minorHAnsi"/>
          <w:noProof/>
          <w:sz w:val="18"/>
          <w:szCs w:val="18"/>
        </w:rPr>
        <w:t>. 2018 vol; 2018</w:t>
      </w:r>
    </w:p>
  </w:footnote>
  <w:footnote w:id="27">
    <w:p w:rsidR="00F83AE0" w:rsidRPr="00B36CAB" w:rsidRDefault="00F83AE0" w:rsidP="00193887">
      <w:pPr>
        <w:pStyle w:val="FootnoteText"/>
        <w:rPr>
          <w:rFonts w:asciiTheme="minorHAnsi" w:hAnsiTheme="minorHAnsi" w:cstheme="minorHAnsi"/>
          <w:sz w:val="18"/>
          <w:szCs w:val="18"/>
        </w:rPr>
      </w:pPr>
      <w:r w:rsidRPr="00B36CAB">
        <w:rPr>
          <w:rStyle w:val="FootnoteReference"/>
          <w:rFonts w:asciiTheme="minorHAnsi" w:hAnsiTheme="minorHAnsi" w:cstheme="minorHAnsi"/>
          <w:sz w:val="18"/>
          <w:szCs w:val="18"/>
        </w:rPr>
        <w:footnoteRef/>
      </w:r>
      <w:r w:rsidRPr="00B36CAB">
        <w:rPr>
          <w:rFonts w:asciiTheme="minorHAnsi" w:hAnsiTheme="minorHAnsi" w:cstheme="minorHAnsi"/>
          <w:sz w:val="18"/>
          <w:szCs w:val="18"/>
        </w:rPr>
        <w:t xml:space="preserve"> National AIDS Center (Infectious Diseases, AIDS, and Clinical Immunology Research Center) Data </w:t>
      </w:r>
    </w:p>
  </w:footnote>
  <w:footnote w:id="28">
    <w:p w:rsidR="00F83AE0" w:rsidRPr="00726597" w:rsidRDefault="00F83AE0" w:rsidP="00193887">
      <w:pPr>
        <w:pStyle w:val="FootnoteText"/>
        <w:contextualSpacing/>
        <w:rPr>
          <w:rFonts w:asciiTheme="minorHAnsi" w:hAnsiTheme="minorHAnsi" w:cstheme="minorHAnsi"/>
          <w:sz w:val="18"/>
          <w:szCs w:val="18"/>
        </w:rPr>
      </w:pPr>
      <w:r w:rsidRPr="00726597">
        <w:rPr>
          <w:rStyle w:val="FootnoteReference"/>
          <w:rFonts w:asciiTheme="minorHAnsi" w:hAnsiTheme="minorHAnsi" w:cstheme="minorHAnsi"/>
          <w:sz w:val="18"/>
          <w:szCs w:val="18"/>
        </w:rPr>
        <w:footnoteRef/>
      </w:r>
      <w:r w:rsidRPr="00726597">
        <w:rPr>
          <w:rFonts w:asciiTheme="minorHAnsi" w:hAnsiTheme="minorHAnsi" w:cstheme="minorHAnsi"/>
          <w:sz w:val="18"/>
          <w:szCs w:val="18"/>
        </w:rPr>
        <w:t xml:space="preserve"> Evaluation cost-effectiveness of needle and syringe program in Georgia, UNAIDS, 2011 </w:t>
      </w:r>
      <w:hyperlink r:id="rId14" w:history="1">
        <w:r w:rsidRPr="00726597">
          <w:rPr>
            <w:rStyle w:val="Hyperlink"/>
            <w:rFonts w:asciiTheme="minorHAnsi" w:hAnsiTheme="minorHAnsi" w:cstheme="minorHAnsi"/>
            <w:sz w:val="18"/>
            <w:szCs w:val="18"/>
          </w:rPr>
          <w:t>http://altgeorgia.ge/2012/myfiles/UNAIDS_reporrt_eng.pdf</w:t>
        </w:r>
      </w:hyperlink>
    </w:p>
    <w:p w:rsidR="00F83AE0" w:rsidRPr="00CA54C6" w:rsidRDefault="00F83AE0" w:rsidP="00193887">
      <w:pPr>
        <w:pStyle w:val="FootnoteText"/>
        <w:contextualSpacing/>
        <w:rPr>
          <w:rFonts w:cstheme="minorHAnsi"/>
          <w:sz w:val="2"/>
          <w:szCs w:val="2"/>
        </w:rPr>
      </w:pPr>
    </w:p>
  </w:footnote>
  <w:footnote w:id="29">
    <w:p w:rsidR="00F83AE0" w:rsidRPr="00C73793" w:rsidRDefault="00F83AE0">
      <w:pPr>
        <w:pStyle w:val="FootnoteText"/>
        <w:rPr>
          <w:rFonts w:asciiTheme="minorHAnsi" w:hAnsiTheme="minorHAnsi"/>
          <w:sz w:val="18"/>
          <w:szCs w:val="18"/>
        </w:rPr>
      </w:pPr>
      <w:r w:rsidRPr="00C73793">
        <w:rPr>
          <w:rStyle w:val="FootnoteReference"/>
          <w:rFonts w:asciiTheme="minorHAnsi" w:hAnsiTheme="minorHAnsi"/>
          <w:sz w:val="18"/>
          <w:szCs w:val="18"/>
        </w:rPr>
        <w:footnoteRef/>
      </w:r>
      <w:r w:rsidRPr="00C73793">
        <w:rPr>
          <w:rFonts w:asciiTheme="minorHAnsi" w:hAnsiTheme="minorHAnsi"/>
          <w:sz w:val="18"/>
          <w:szCs w:val="18"/>
        </w:rPr>
        <w:t xml:space="preserve"> </w:t>
      </w:r>
      <w:hyperlink r:id="rId15" w:history="1">
        <w:r w:rsidRPr="00C73793">
          <w:rPr>
            <w:rStyle w:val="Hyperlink"/>
            <w:rFonts w:asciiTheme="minorHAnsi" w:hAnsiTheme="minorHAnsi"/>
            <w:sz w:val="18"/>
            <w:szCs w:val="18"/>
          </w:rPr>
          <w:t>http://www.who.int/hiv/pub/toolkits/msm-implementation-tool/en/</w:t>
        </w:r>
      </w:hyperlink>
    </w:p>
    <w:p w:rsidR="00F83AE0" w:rsidRDefault="00F83AE0">
      <w:pPr>
        <w:pStyle w:val="FootnoteText"/>
      </w:pPr>
    </w:p>
  </w:footnote>
  <w:footnote w:id="30">
    <w:p w:rsidR="00F83AE0" w:rsidRPr="00604E2E" w:rsidRDefault="00F83AE0">
      <w:pPr>
        <w:pStyle w:val="FootnoteText"/>
        <w:rPr>
          <w:rFonts w:asciiTheme="minorHAnsi" w:hAnsiTheme="minorHAnsi"/>
          <w:sz w:val="18"/>
          <w:szCs w:val="18"/>
        </w:rPr>
      </w:pPr>
      <w:r w:rsidRPr="00604E2E">
        <w:rPr>
          <w:rStyle w:val="FootnoteReference"/>
          <w:rFonts w:asciiTheme="minorHAnsi" w:hAnsiTheme="minorHAnsi"/>
          <w:sz w:val="18"/>
          <w:szCs w:val="18"/>
        </w:rPr>
        <w:footnoteRef/>
      </w:r>
      <w:r w:rsidRPr="00604E2E">
        <w:rPr>
          <w:rFonts w:asciiTheme="minorHAnsi" w:hAnsiTheme="minorHAnsi"/>
          <w:sz w:val="18"/>
          <w:szCs w:val="18"/>
        </w:rPr>
        <w:t xml:space="preserve"> </w:t>
      </w:r>
      <w:hyperlink r:id="rId16" w:history="1">
        <w:r w:rsidRPr="00604E2E">
          <w:rPr>
            <w:rStyle w:val="Hyperlink"/>
            <w:rFonts w:asciiTheme="minorHAnsi" w:hAnsiTheme="minorHAnsi"/>
            <w:sz w:val="18"/>
            <w:szCs w:val="18"/>
          </w:rPr>
          <w:t>http://www.who.int/hiv/pub/sti/sex_worker_implementation/en/</w:t>
        </w:r>
      </w:hyperlink>
    </w:p>
    <w:p w:rsidR="00F83AE0" w:rsidRDefault="00F83AE0">
      <w:pPr>
        <w:pStyle w:val="FootnoteText"/>
      </w:pPr>
    </w:p>
  </w:footnote>
  <w:footnote w:id="31">
    <w:p w:rsidR="00F83AE0" w:rsidRDefault="00F83AE0" w:rsidP="00C020F5">
      <w:pPr>
        <w:rPr>
          <w:rFonts w:asciiTheme="minorHAnsi" w:hAnsiTheme="minorHAnsi"/>
          <w:sz w:val="18"/>
          <w:szCs w:val="18"/>
        </w:rPr>
      </w:pPr>
      <w:r w:rsidRPr="00C020F5">
        <w:rPr>
          <w:rStyle w:val="FootnoteReference"/>
          <w:rFonts w:asciiTheme="minorHAnsi" w:hAnsiTheme="minorHAnsi"/>
          <w:sz w:val="18"/>
          <w:szCs w:val="18"/>
        </w:rPr>
        <w:footnoteRef/>
      </w:r>
      <w:r w:rsidRPr="00C020F5">
        <w:rPr>
          <w:rFonts w:asciiTheme="minorHAnsi" w:hAnsiTheme="minorHAnsi"/>
          <w:sz w:val="18"/>
          <w:szCs w:val="18"/>
        </w:rPr>
        <w:t xml:space="preserve"> STRATEGIC PLAN FOR THE ELIMINATION OF HEPATITIS C VIRUS IN GEORGIA, 2016-2020</w:t>
      </w:r>
      <w:r>
        <w:rPr>
          <w:rFonts w:asciiTheme="minorHAnsi" w:hAnsiTheme="minorHAnsi"/>
          <w:sz w:val="18"/>
          <w:szCs w:val="18"/>
        </w:rPr>
        <w:t xml:space="preserve">. </w:t>
      </w:r>
      <w:hyperlink r:id="rId17" w:history="1">
        <w:r w:rsidRPr="00597679">
          <w:rPr>
            <w:rStyle w:val="Hyperlink"/>
            <w:rFonts w:asciiTheme="minorHAnsi" w:hAnsiTheme="minorHAnsi"/>
            <w:sz w:val="18"/>
            <w:szCs w:val="18"/>
          </w:rPr>
          <w:t>http://www.moh.gov.ge/uploads/files/2017/akordeoni/failebi/Georgia_HCV_Elimination_Strategy_2016-2020.pdf</w:t>
        </w:r>
      </w:hyperlink>
    </w:p>
    <w:p w:rsidR="00F83AE0" w:rsidRPr="00C020F5" w:rsidRDefault="00F83AE0" w:rsidP="00C020F5">
      <w:pPr>
        <w:rPr>
          <w:rFonts w:asciiTheme="minorHAnsi" w:hAnsiTheme="minorHAnsi"/>
          <w:sz w:val="18"/>
          <w:szCs w:val="18"/>
        </w:rPr>
      </w:pPr>
    </w:p>
    <w:p w:rsidR="00F83AE0" w:rsidRPr="00C020F5" w:rsidRDefault="00F83AE0">
      <w:pPr>
        <w:pStyle w:val="FootnoteText"/>
        <w:rPr>
          <w:rFonts w:asciiTheme="minorHAnsi" w:hAnsiTheme="minorHAnsi"/>
          <w:sz w:val="18"/>
          <w:szCs w:val="18"/>
        </w:rPr>
      </w:pPr>
    </w:p>
  </w:footnote>
  <w:footnote w:id="32">
    <w:p w:rsidR="00E71FEC" w:rsidRPr="00E01378" w:rsidRDefault="00E71FEC" w:rsidP="00E71FEC">
      <w:pPr>
        <w:pStyle w:val="FootnoteText"/>
        <w:rPr>
          <w:rFonts w:asciiTheme="minorHAnsi" w:hAnsiTheme="minorHAnsi" w:cstheme="minorHAnsi"/>
          <w:sz w:val="18"/>
          <w:szCs w:val="18"/>
        </w:rPr>
      </w:pPr>
      <w:r w:rsidRPr="00E01378">
        <w:rPr>
          <w:rStyle w:val="FootnoteReference"/>
          <w:rFonts w:asciiTheme="minorHAnsi" w:eastAsiaTheme="majorEastAsia" w:hAnsiTheme="minorHAnsi" w:cstheme="minorHAnsi"/>
          <w:sz w:val="18"/>
          <w:szCs w:val="18"/>
        </w:rPr>
        <w:footnoteRef/>
      </w:r>
      <w:r w:rsidRPr="00E01378">
        <w:rPr>
          <w:rFonts w:asciiTheme="minorHAnsi" w:hAnsiTheme="minorHAnsi" w:cstheme="minorHAnsi"/>
          <w:sz w:val="18"/>
          <w:szCs w:val="18"/>
        </w:rPr>
        <w:t xml:space="preserve"> Expenditures for 2018 are projected</w:t>
      </w:r>
    </w:p>
  </w:footnote>
  <w:footnote w:id="33">
    <w:p w:rsidR="00E71FEC" w:rsidRPr="00E01378" w:rsidRDefault="00E71FEC" w:rsidP="00E71FEC">
      <w:pPr>
        <w:pStyle w:val="FootnoteText"/>
        <w:rPr>
          <w:rFonts w:asciiTheme="minorHAnsi" w:hAnsiTheme="minorHAnsi" w:cstheme="minorHAnsi"/>
          <w:sz w:val="18"/>
          <w:szCs w:val="18"/>
        </w:rPr>
      </w:pPr>
      <w:r w:rsidRPr="00E01378">
        <w:rPr>
          <w:rStyle w:val="FootnoteReference"/>
          <w:rFonts w:asciiTheme="minorHAnsi" w:eastAsiaTheme="majorEastAsia" w:hAnsiTheme="minorHAnsi" w:cstheme="minorHAnsi"/>
          <w:sz w:val="18"/>
          <w:szCs w:val="18"/>
        </w:rPr>
        <w:footnoteRef/>
      </w:r>
      <w:r w:rsidRPr="00E01378">
        <w:rPr>
          <w:rFonts w:asciiTheme="minorHAnsi" w:hAnsiTheme="minorHAnsi" w:cstheme="minorHAnsi"/>
          <w:sz w:val="18"/>
          <w:szCs w:val="18"/>
        </w:rPr>
        <w:t xml:space="preserve"> Expenditures for 2018 are projected</w:t>
      </w:r>
    </w:p>
  </w:footnote>
  <w:footnote w:id="34">
    <w:p w:rsidR="00E71FEC" w:rsidRPr="00FF2733" w:rsidRDefault="00E71FEC" w:rsidP="00E71FEC">
      <w:pPr>
        <w:pStyle w:val="FootnoteText"/>
        <w:rPr>
          <w:rFonts w:asciiTheme="minorHAnsi" w:hAnsiTheme="minorHAnsi" w:cstheme="minorHAnsi"/>
          <w:sz w:val="18"/>
          <w:lang w:val="en-GB"/>
        </w:rPr>
      </w:pPr>
      <w:r w:rsidRPr="00FF2733">
        <w:rPr>
          <w:rStyle w:val="FootnoteReference"/>
          <w:rFonts w:asciiTheme="minorHAnsi" w:hAnsiTheme="minorHAnsi" w:cstheme="minorHAnsi"/>
          <w:sz w:val="18"/>
        </w:rPr>
        <w:footnoteRef/>
      </w:r>
      <w:r w:rsidRPr="00FF2733">
        <w:rPr>
          <w:rFonts w:asciiTheme="minorHAnsi" w:hAnsiTheme="minorHAnsi" w:cstheme="minorHAnsi"/>
          <w:sz w:val="18"/>
        </w:rPr>
        <w:t xml:space="preserve"> Note for clarification: National HIV response is multisectoral and includes allocations (and spending) not only from the Ministry of Health, but also from other executive government bodies. Therefore, below we look specifically at the State HIV Program, which is a main placeholder for prevention and treatment activities and activities currently funded by the GF are projected to be largely “housed” by this program. </w:t>
      </w:r>
    </w:p>
  </w:footnote>
  <w:footnote w:id="35">
    <w:p w:rsidR="00F83AE0" w:rsidRPr="00425C70" w:rsidRDefault="00F83AE0" w:rsidP="00670B40">
      <w:pPr>
        <w:pStyle w:val="FootnoteText"/>
        <w:rPr>
          <w:rFonts w:asciiTheme="minorHAnsi" w:hAnsiTheme="minorHAnsi"/>
          <w:sz w:val="18"/>
          <w:szCs w:val="18"/>
        </w:rPr>
      </w:pPr>
      <w:r w:rsidRPr="00425C70">
        <w:rPr>
          <w:rStyle w:val="FootnoteReference"/>
          <w:rFonts w:asciiTheme="minorHAnsi" w:hAnsiTheme="minorHAnsi"/>
          <w:sz w:val="18"/>
          <w:szCs w:val="18"/>
        </w:rPr>
        <w:footnoteRef/>
      </w:r>
      <w:r w:rsidRPr="00425C70">
        <w:rPr>
          <w:rFonts w:asciiTheme="minorHAnsi" w:hAnsiTheme="minorHAnsi"/>
          <w:sz w:val="18"/>
          <w:szCs w:val="18"/>
        </w:rPr>
        <w:t xml:space="preserve"> Global AIDS Monitoring 2018. UNAIDS. http://www.unaids.org/sites/default/files/media_asset/2017-Global-AIDS-Monitoring_en.pdf</w:t>
      </w:r>
    </w:p>
  </w:footnote>
  <w:footnote w:id="36">
    <w:p w:rsidR="00F83AE0" w:rsidRPr="00701D73" w:rsidRDefault="00F83AE0" w:rsidP="00DA0FAD">
      <w:pPr>
        <w:pStyle w:val="FootnoteText"/>
        <w:rPr>
          <w:sz w:val="18"/>
          <w:szCs w:val="18"/>
        </w:rPr>
      </w:pPr>
      <w:r w:rsidRPr="00701D73">
        <w:rPr>
          <w:rStyle w:val="FootnoteReference"/>
          <w:sz w:val="18"/>
          <w:szCs w:val="18"/>
        </w:rPr>
        <w:footnoteRef/>
      </w:r>
      <w:r w:rsidRPr="00701D73">
        <w:rPr>
          <w:sz w:val="18"/>
          <w:szCs w:val="18"/>
        </w:rPr>
        <w:t xml:space="preserve"> </w:t>
      </w:r>
      <w:hyperlink r:id="rId18" w:history="1">
        <w:r w:rsidRPr="00701D73">
          <w:rPr>
            <w:rStyle w:val="Hyperlink"/>
            <w:sz w:val="18"/>
            <w:szCs w:val="18"/>
          </w:rPr>
          <w:t>http://databank.worldbank.org/data/reports.aspx?source=world-development-indicators#</w:t>
        </w:r>
      </w:hyperlink>
    </w:p>
    <w:p w:rsidR="00F83AE0" w:rsidRPr="009D2F4D" w:rsidRDefault="00F83AE0" w:rsidP="00DA0FAD">
      <w:pPr>
        <w:pStyle w:val="FootnoteText"/>
        <w:rPr>
          <w:sz w:val="2"/>
          <w:szCs w:val="2"/>
        </w:rPr>
      </w:pPr>
    </w:p>
  </w:footnote>
  <w:footnote w:id="37">
    <w:p w:rsidR="00F83AE0" w:rsidRDefault="00F83AE0">
      <w:pPr>
        <w:pStyle w:val="FootnoteText"/>
        <w:rPr>
          <w:rFonts w:asciiTheme="minorHAnsi" w:hAnsiTheme="minorHAnsi"/>
          <w:sz w:val="18"/>
          <w:szCs w:val="18"/>
        </w:rPr>
      </w:pPr>
      <w:r w:rsidRPr="009D2F4D">
        <w:rPr>
          <w:rStyle w:val="FootnoteReference"/>
          <w:rFonts w:asciiTheme="minorHAnsi" w:hAnsiTheme="minorHAnsi"/>
          <w:sz w:val="18"/>
          <w:szCs w:val="18"/>
        </w:rPr>
        <w:footnoteRef/>
      </w:r>
      <w:r w:rsidRPr="009D2F4D">
        <w:rPr>
          <w:rFonts w:asciiTheme="minorHAnsi" w:hAnsiTheme="minorHAnsi"/>
          <w:sz w:val="18"/>
          <w:szCs w:val="18"/>
        </w:rPr>
        <w:t xml:space="preserve"> National AIDS Center</w:t>
      </w:r>
      <w:r>
        <w:rPr>
          <w:rFonts w:asciiTheme="minorHAnsi" w:hAnsiTheme="minorHAnsi"/>
          <w:sz w:val="18"/>
          <w:szCs w:val="18"/>
        </w:rPr>
        <w:t xml:space="preserve">. </w:t>
      </w:r>
      <w:hyperlink r:id="rId19" w:history="1">
        <w:r w:rsidRPr="00597679">
          <w:rPr>
            <w:rStyle w:val="Hyperlink"/>
            <w:rFonts w:asciiTheme="minorHAnsi" w:hAnsiTheme="minorHAnsi"/>
            <w:sz w:val="18"/>
            <w:szCs w:val="18"/>
          </w:rPr>
          <w:t>https://aidscenter.ge/epidsituation_eng.html</w:t>
        </w:r>
      </w:hyperlink>
    </w:p>
    <w:p w:rsidR="00F83AE0" w:rsidRPr="009D2F4D" w:rsidRDefault="00F83AE0">
      <w:pPr>
        <w:pStyle w:val="FootnoteText"/>
        <w:rPr>
          <w:rFonts w:asciiTheme="minorHAnsi" w:hAnsiTheme="minorHAnsi"/>
          <w:sz w:val="18"/>
          <w:szCs w:val="18"/>
        </w:rPr>
      </w:pPr>
    </w:p>
  </w:footnote>
  <w:footnote w:id="38">
    <w:p w:rsidR="00F83AE0" w:rsidRPr="008F2259" w:rsidRDefault="00F83AE0">
      <w:pPr>
        <w:pStyle w:val="FootnoteText"/>
        <w:rPr>
          <w:rFonts w:asciiTheme="minorHAnsi" w:hAnsiTheme="minorHAnsi"/>
          <w:sz w:val="18"/>
          <w:szCs w:val="18"/>
        </w:rPr>
      </w:pPr>
      <w:r w:rsidRPr="008F2259">
        <w:rPr>
          <w:rStyle w:val="FootnoteReference"/>
          <w:rFonts w:asciiTheme="minorHAnsi" w:hAnsiTheme="minorHAnsi"/>
          <w:sz w:val="18"/>
          <w:szCs w:val="18"/>
        </w:rPr>
        <w:footnoteRef/>
      </w:r>
      <w:r w:rsidRPr="008F2259">
        <w:rPr>
          <w:rFonts w:asciiTheme="minorHAnsi" w:hAnsiTheme="minorHAnsi"/>
          <w:sz w:val="18"/>
          <w:szCs w:val="18"/>
        </w:rPr>
        <w:t xml:space="preserve"> World Drug Report 2017</w:t>
      </w:r>
    </w:p>
  </w:footnote>
  <w:footnote w:id="39">
    <w:p w:rsidR="00F83AE0" w:rsidRPr="008F2259" w:rsidRDefault="00F83AE0">
      <w:pPr>
        <w:pStyle w:val="FootnoteText"/>
        <w:rPr>
          <w:rFonts w:asciiTheme="minorHAnsi" w:hAnsiTheme="minorHAnsi"/>
          <w:sz w:val="18"/>
          <w:szCs w:val="18"/>
        </w:rPr>
      </w:pPr>
      <w:r w:rsidRPr="008F2259">
        <w:rPr>
          <w:rStyle w:val="FootnoteReference"/>
          <w:rFonts w:asciiTheme="minorHAnsi" w:hAnsiTheme="minorHAnsi"/>
          <w:sz w:val="18"/>
          <w:szCs w:val="18"/>
        </w:rPr>
        <w:footnoteRef/>
      </w:r>
      <w:r w:rsidRPr="008F2259">
        <w:rPr>
          <w:rFonts w:asciiTheme="minorHAnsi" w:hAnsiTheme="minorHAnsi"/>
          <w:sz w:val="18"/>
          <w:szCs w:val="18"/>
        </w:rPr>
        <w:t xml:space="preserve"> </w:t>
      </w:r>
      <w:r w:rsidRPr="00622001">
        <w:rPr>
          <w:rFonts w:asciiTheme="minorHAnsi" w:hAnsiTheme="minorHAnsi"/>
          <w:sz w:val="18"/>
          <w:szCs w:val="18"/>
        </w:rPr>
        <w:t>PWID PSE – Curatio International Foundation, 2017</w:t>
      </w:r>
    </w:p>
  </w:footnote>
  <w:footnote w:id="40">
    <w:p w:rsidR="00F83AE0" w:rsidRPr="003B7A2A" w:rsidRDefault="00F83AE0" w:rsidP="00B71FFF">
      <w:pPr>
        <w:pStyle w:val="FootnoteText"/>
        <w:rPr>
          <w:rFonts w:asciiTheme="minorHAnsi" w:hAnsiTheme="minorHAnsi"/>
          <w:sz w:val="18"/>
          <w:szCs w:val="18"/>
        </w:rPr>
      </w:pPr>
      <w:r w:rsidRPr="003B7A2A">
        <w:rPr>
          <w:rStyle w:val="FootnoteReference"/>
          <w:rFonts w:asciiTheme="minorHAnsi" w:hAnsiTheme="minorHAnsi"/>
          <w:sz w:val="18"/>
          <w:szCs w:val="18"/>
        </w:rPr>
        <w:footnoteRef/>
      </w:r>
      <w:r w:rsidRPr="003B7A2A">
        <w:rPr>
          <w:rFonts w:asciiTheme="minorHAnsi" w:hAnsiTheme="minorHAnsi"/>
          <w:sz w:val="18"/>
          <w:szCs w:val="18"/>
        </w:rPr>
        <w:t xml:space="preserve"> HIV risk and prevention behaviors among People Who Inject Drugs in seven cities of Georgia, 2016-2017, Bemoni Public Union(BPU); Curatio International Foundation (CIF) </w:t>
      </w:r>
    </w:p>
    <w:p w:rsidR="00F83AE0" w:rsidRPr="003B7A2A" w:rsidRDefault="00F83AE0" w:rsidP="00B71FFF">
      <w:pPr>
        <w:rPr>
          <w:rFonts w:asciiTheme="minorHAnsi" w:hAnsiTheme="minorHAnsi"/>
          <w:sz w:val="18"/>
          <w:szCs w:val="18"/>
        </w:rPr>
      </w:pPr>
      <w:r w:rsidRPr="003B7A2A">
        <w:rPr>
          <w:rFonts w:asciiTheme="minorHAnsi" w:hAnsiTheme="minorHAnsi"/>
          <w:sz w:val="18"/>
          <w:szCs w:val="18"/>
        </w:rPr>
        <w:t xml:space="preserve"> </w:t>
      </w:r>
    </w:p>
    <w:p w:rsidR="00F83AE0" w:rsidRDefault="00F83AE0" w:rsidP="00B71FFF">
      <w:pPr>
        <w:pStyle w:val="FootnoteText"/>
      </w:pPr>
    </w:p>
  </w:footnote>
  <w:footnote w:id="41">
    <w:p w:rsidR="00F83AE0" w:rsidRPr="005F6C0C" w:rsidRDefault="00F83AE0" w:rsidP="008A36D4">
      <w:pPr>
        <w:pStyle w:val="FootnoteText"/>
        <w:rPr>
          <w:rFonts w:asciiTheme="minorHAnsi" w:hAnsiTheme="minorHAnsi"/>
          <w:sz w:val="18"/>
          <w:szCs w:val="18"/>
          <w:lang w:val="ka-GE"/>
        </w:rPr>
      </w:pPr>
      <w:r w:rsidRPr="005F6C0C">
        <w:rPr>
          <w:rStyle w:val="FootnoteReference"/>
          <w:rFonts w:asciiTheme="minorHAnsi" w:hAnsiTheme="minorHAnsi"/>
          <w:sz w:val="18"/>
          <w:szCs w:val="18"/>
        </w:rPr>
        <w:footnoteRef/>
      </w:r>
      <w:r w:rsidRPr="005F6C0C">
        <w:rPr>
          <w:rFonts w:asciiTheme="minorHAnsi" w:hAnsiTheme="minorHAnsi"/>
          <w:sz w:val="18"/>
          <w:szCs w:val="18"/>
        </w:rPr>
        <w:t xml:space="preserve"> Estimated number of PLWH was recently validated by UNAIDS in the process of SPECTRUM update.</w:t>
      </w:r>
    </w:p>
  </w:footnote>
  <w:footnote w:id="42">
    <w:p w:rsidR="00F83AE0" w:rsidRPr="000D6406" w:rsidRDefault="00F83AE0">
      <w:pPr>
        <w:pStyle w:val="FootnoteText"/>
        <w:rPr>
          <w:rFonts w:asciiTheme="minorHAnsi" w:hAnsiTheme="minorHAnsi"/>
          <w:sz w:val="18"/>
          <w:szCs w:val="18"/>
        </w:rPr>
      </w:pPr>
      <w:r w:rsidRPr="000D6406">
        <w:rPr>
          <w:rStyle w:val="FootnoteReference"/>
          <w:rFonts w:asciiTheme="minorHAnsi" w:hAnsiTheme="minorHAnsi"/>
          <w:sz w:val="18"/>
          <w:szCs w:val="18"/>
        </w:rPr>
        <w:footnoteRef/>
      </w:r>
      <w:r w:rsidRPr="000D6406">
        <w:rPr>
          <w:rFonts w:asciiTheme="minorHAnsi" w:hAnsiTheme="minorHAnsi"/>
          <w:sz w:val="18"/>
          <w:szCs w:val="18"/>
        </w:rPr>
        <w:t xml:space="preserve"> Figure shows the comparison of previous NSP targets and programmatic data of TGF ongoing grant</w:t>
      </w:r>
      <w:r>
        <w:rPr>
          <w:rFonts w:asciiTheme="minorHAnsi" w:hAnsiTheme="minorHAnsi"/>
          <w:sz w:val="18"/>
          <w:szCs w:val="18"/>
        </w:rPr>
        <w:t xml:space="preserve">. 2018 data are shown as of February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E0" w:rsidRDefault="00F135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2" o:spid="_x0000_s2054" type="#_x0000_t136" alt="" style="position:absolute;margin-left:0;margin-top:0;width:476.9pt;height:158.9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E0" w:rsidRDefault="00F135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3" o:spid="_x0000_s2053" type="#_x0000_t136" alt="" style="position:absolute;margin-left:0;margin-top:0;width:476.9pt;height:158.95pt;rotation:315;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E0" w:rsidRDefault="00F135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1" o:spid="_x0000_s2052" type="#_x0000_t136" alt="" style="position:absolute;margin-left:0;margin-top:0;width:476.9pt;height:158.9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E0" w:rsidRDefault="00F135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5" o:spid="_x0000_s2051" type="#_x0000_t136" alt="" style="position:absolute;margin-left:0;margin-top:0;width:476.9pt;height:158.9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E0" w:rsidRDefault="00F135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6" o:spid="_x0000_s2050" type="#_x0000_t136" alt="" style="position:absolute;margin-left:0;margin-top:0;width:476.9pt;height:158.9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E0" w:rsidRDefault="00F135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953434" o:spid="_x0000_s2049"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68B2D9DE"/>
    <w:lvl w:ilvl="0">
      <w:start w:val="1"/>
      <w:numFmt w:val="decimal"/>
      <w:lvlText w:val="%1."/>
      <w:lvlJc w:val="left"/>
      <w:pPr>
        <w:tabs>
          <w:tab w:val="num" w:pos="720"/>
        </w:tabs>
        <w:ind w:left="720" w:hanging="360"/>
      </w:pPr>
      <w:rPr>
        <w:rFonts w:asciiTheme="minorHAnsi" w:eastAsia="Sylfaen" w:hAnsiTheme="minorHAnsi" w:cstheme="minorHAnsi" w:hint="default"/>
        <w:b w:val="0"/>
        <w:i w:val="0"/>
        <w:strike w:val="0"/>
        <w:color w:val="000000"/>
        <w:position w:val="0"/>
        <w:sz w:val="22"/>
        <w:szCs w:val="22"/>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 w15:restartNumberingAfterBreak="0">
    <w:nsid w:val="03C12674"/>
    <w:multiLevelType w:val="hybridMultilevel"/>
    <w:tmpl w:val="ADDAFE1C"/>
    <w:lvl w:ilvl="0" w:tplc="CD04CF30">
      <w:start w:val="1"/>
      <w:numFmt w:val="upperRoman"/>
      <w:lvlText w:val="%1."/>
      <w:lvlJc w:val="right"/>
      <w:pPr>
        <w:ind w:left="1440" w:hanging="360"/>
      </w:pPr>
      <w:rPr>
        <w:rFonts w:hint="default"/>
      </w:rPr>
    </w:lvl>
    <w:lvl w:ilvl="1" w:tplc="F24A9202" w:tentative="1">
      <w:start w:val="1"/>
      <w:numFmt w:val="lowerLetter"/>
      <w:lvlText w:val="%2."/>
      <w:lvlJc w:val="left"/>
      <w:pPr>
        <w:ind w:left="1440" w:hanging="360"/>
      </w:pPr>
    </w:lvl>
    <w:lvl w:ilvl="2" w:tplc="D49C24FC" w:tentative="1">
      <w:start w:val="1"/>
      <w:numFmt w:val="lowerRoman"/>
      <w:lvlText w:val="%3."/>
      <w:lvlJc w:val="right"/>
      <w:pPr>
        <w:ind w:left="2160" w:hanging="180"/>
      </w:pPr>
    </w:lvl>
    <w:lvl w:ilvl="3" w:tplc="388264A8" w:tentative="1">
      <w:start w:val="1"/>
      <w:numFmt w:val="decimal"/>
      <w:lvlText w:val="%4."/>
      <w:lvlJc w:val="left"/>
      <w:pPr>
        <w:ind w:left="2880" w:hanging="360"/>
      </w:pPr>
    </w:lvl>
    <w:lvl w:ilvl="4" w:tplc="03B23D4C" w:tentative="1">
      <w:start w:val="1"/>
      <w:numFmt w:val="lowerLetter"/>
      <w:lvlText w:val="%5."/>
      <w:lvlJc w:val="left"/>
      <w:pPr>
        <w:ind w:left="3600" w:hanging="360"/>
      </w:pPr>
    </w:lvl>
    <w:lvl w:ilvl="5" w:tplc="DCC28CAC" w:tentative="1">
      <w:start w:val="1"/>
      <w:numFmt w:val="lowerRoman"/>
      <w:lvlText w:val="%6."/>
      <w:lvlJc w:val="right"/>
      <w:pPr>
        <w:ind w:left="4320" w:hanging="180"/>
      </w:pPr>
    </w:lvl>
    <w:lvl w:ilvl="6" w:tplc="2580008A" w:tentative="1">
      <w:start w:val="1"/>
      <w:numFmt w:val="decimal"/>
      <w:lvlText w:val="%7."/>
      <w:lvlJc w:val="left"/>
      <w:pPr>
        <w:ind w:left="5040" w:hanging="360"/>
      </w:pPr>
    </w:lvl>
    <w:lvl w:ilvl="7" w:tplc="1BB41EB2" w:tentative="1">
      <w:start w:val="1"/>
      <w:numFmt w:val="lowerLetter"/>
      <w:lvlText w:val="%8."/>
      <w:lvlJc w:val="left"/>
      <w:pPr>
        <w:ind w:left="5760" w:hanging="360"/>
      </w:pPr>
    </w:lvl>
    <w:lvl w:ilvl="8" w:tplc="F49ED494" w:tentative="1">
      <w:start w:val="1"/>
      <w:numFmt w:val="lowerRoman"/>
      <w:lvlText w:val="%9."/>
      <w:lvlJc w:val="right"/>
      <w:pPr>
        <w:ind w:left="6480" w:hanging="180"/>
      </w:pPr>
    </w:lvl>
  </w:abstractNum>
  <w:abstractNum w:abstractNumId="2" w15:restartNumberingAfterBreak="0">
    <w:nsid w:val="05FD7AFF"/>
    <w:multiLevelType w:val="hybridMultilevel"/>
    <w:tmpl w:val="A48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E6BB7"/>
    <w:multiLevelType w:val="multilevel"/>
    <w:tmpl w:val="51F21FF4"/>
    <w:styleLink w:val="Style8"/>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F5C7C3F"/>
    <w:multiLevelType w:val="hybridMultilevel"/>
    <w:tmpl w:val="ADDAFE1C"/>
    <w:lvl w:ilvl="0" w:tplc="A6267B1A">
      <w:start w:val="1"/>
      <w:numFmt w:val="upperRoman"/>
      <w:lvlText w:val="%1."/>
      <w:lvlJc w:val="right"/>
      <w:pPr>
        <w:ind w:left="1440" w:hanging="360"/>
      </w:pPr>
      <w:rPr>
        <w:rFonts w:hint="default"/>
      </w:rPr>
    </w:lvl>
    <w:lvl w:ilvl="1" w:tplc="1EAC2BD6" w:tentative="1">
      <w:start w:val="1"/>
      <w:numFmt w:val="lowerLetter"/>
      <w:lvlText w:val="%2."/>
      <w:lvlJc w:val="left"/>
      <w:pPr>
        <w:ind w:left="1440" w:hanging="360"/>
      </w:pPr>
    </w:lvl>
    <w:lvl w:ilvl="2" w:tplc="2F86B798" w:tentative="1">
      <w:start w:val="1"/>
      <w:numFmt w:val="lowerRoman"/>
      <w:lvlText w:val="%3."/>
      <w:lvlJc w:val="right"/>
      <w:pPr>
        <w:ind w:left="2160" w:hanging="180"/>
      </w:pPr>
    </w:lvl>
    <w:lvl w:ilvl="3" w:tplc="BDFA9954" w:tentative="1">
      <w:start w:val="1"/>
      <w:numFmt w:val="decimal"/>
      <w:lvlText w:val="%4."/>
      <w:lvlJc w:val="left"/>
      <w:pPr>
        <w:ind w:left="2880" w:hanging="360"/>
      </w:pPr>
    </w:lvl>
    <w:lvl w:ilvl="4" w:tplc="B7B416F2" w:tentative="1">
      <w:start w:val="1"/>
      <w:numFmt w:val="lowerLetter"/>
      <w:lvlText w:val="%5."/>
      <w:lvlJc w:val="left"/>
      <w:pPr>
        <w:ind w:left="3600" w:hanging="360"/>
      </w:pPr>
    </w:lvl>
    <w:lvl w:ilvl="5" w:tplc="85E08492" w:tentative="1">
      <w:start w:val="1"/>
      <w:numFmt w:val="lowerRoman"/>
      <w:lvlText w:val="%6."/>
      <w:lvlJc w:val="right"/>
      <w:pPr>
        <w:ind w:left="4320" w:hanging="180"/>
      </w:pPr>
    </w:lvl>
    <w:lvl w:ilvl="6" w:tplc="45DEB598" w:tentative="1">
      <w:start w:val="1"/>
      <w:numFmt w:val="decimal"/>
      <w:lvlText w:val="%7."/>
      <w:lvlJc w:val="left"/>
      <w:pPr>
        <w:ind w:left="5040" w:hanging="360"/>
      </w:pPr>
    </w:lvl>
    <w:lvl w:ilvl="7" w:tplc="3A32DAFE" w:tentative="1">
      <w:start w:val="1"/>
      <w:numFmt w:val="lowerLetter"/>
      <w:lvlText w:val="%8."/>
      <w:lvlJc w:val="left"/>
      <w:pPr>
        <w:ind w:left="5760" w:hanging="360"/>
      </w:pPr>
    </w:lvl>
    <w:lvl w:ilvl="8" w:tplc="FFC24204" w:tentative="1">
      <w:start w:val="1"/>
      <w:numFmt w:val="lowerRoman"/>
      <w:lvlText w:val="%9."/>
      <w:lvlJc w:val="right"/>
      <w:pPr>
        <w:ind w:left="6480" w:hanging="180"/>
      </w:pPr>
    </w:lvl>
  </w:abstractNum>
  <w:abstractNum w:abstractNumId="5" w15:restartNumberingAfterBreak="0">
    <w:nsid w:val="11674EBF"/>
    <w:multiLevelType w:val="hybridMultilevel"/>
    <w:tmpl w:val="629EC560"/>
    <w:lvl w:ilvl="0" w:tplc="2EB0A290">
      <w:start w:val="1"/>
      <w:numFmt w:val="decimal"/>
      <w:lvlText w:val="%1."/>
      <w:lvlJc w:val="left"/>
      <w:pPr>
        <w:ind w:left="720" w:hanging="360"/>
      </w:pPr>
      <w:rPr>
        <w:rFonts w:hint="default"/>
      </w:rPr>
    </w:lvl>
    <w:lvl w:ilvl="1" w:tplc="031C8F58" w:tentative="1">
      <w:start w:val="1"/>
      <w:numFmt w:val="lowerLetter"/>
      <w:lvlText w:val="%2."/>
      <w:lvlJc w:val="left"/>
      <w:pPr>
        <w:ind w:left="1440" w:hanging="360"/>
      </w:pPr>
    </w:lvl>
    <w:lvl w:ilvl="2" w:tplc="8FB219C8" w:tentative="1">
      <w:start w:val="1"/>
      <w:numFmt w:val="lowerRoman"/>
      <w:lvlText w:val="%3."/>
      <w:lvlJc w:val="right"/>
      <w:pPr>
        <w:ind w:left="2160" w:hanging="180"/>
      </w:pPr>
    </w:lvl>
    <w:lvl w:ilvl="3" w:tplc="8E0A92D0" w:tentative="1">
      <w:start w:val="1"/>
      <w:numFmt w:val="decimal"/>
      <w:lvlText w:val="%4."/>
      <w:lvlJc w:val="left"/>
      <w:pPr>
        <w:ind w:left="2880" w:hanging="360"/>
      </w:pPr>
    </w:lvl>
    <w:lvl w:ilvl="4" w:tplc="D52C9940" w:tentative="1">
      <w:start w:val="1"/>
      <w:numFmt w:val="lowerLetter"/>
      <w:lvlText w:val="%5."/>
      <w:lvlJc w:val="left"/>
      <w:pPr>
        <w:ind w:left="3600" w:hanging="360"/>
      </w:pPr>
    </w:lvl>
    <w:lvl w:ilvl="5" w:tplc="D7F0B504" w:tentative="1">
      <w:start w:val="1"/>
      <w:numFmt w:val="lowerRoman"/>
      <w:lvlText w:val="%6."/>
      <w:lvlJc w:val="right"/>
      <w:pPr>
        <w:ind w:left="4320" w:hanging="180"/>
      </w:pPr>
    </w:lvl>
    <w:lvl w:ilvl="6" w:tplc="D0B8B84A" w:tentative="1">
      <w:start w:val="1"/>
      <w:numFmt w:val="decimal"/>
      <w:lvlText w:val="%7."/>
      <w:lvlJc w:val="left"/>
      <w:pPr>
        <w:ind w:left="5040" w:hanging="360"/>
      </w:pPr>
    </w:lvl>
    <w:lvl w:ilvl="7" w:tplc="7ACAF4AA" w:tentative="1">
      <w:start w:val="1"/>
      <w:numFmt w:val="lowerLetter"/>
      <w:lvlText w:val="%8."/>
      <w:lvlJc w:val="left"/>
      <w:pPr>
        <w:ind w:left="5760" w:hanging="360"/>
      </w:pPr>
    </w:lvl>
    <w:lvl w:ilvl="8" w:tplc="AA2617A0" w:tentative="1">
      <w:start w:val="1"/>
      <w:numFmt w:val="lowerRoman"/>
      <w:lvlText w:val="%9."/>
      <w:lvlJc w:val="right"/>
      <w:pPr>
        <w:ind w:left="6480" w:hanging="180"/>
      </w:pPr>
    </w:lvl>
  </w:abstractNum>
  <w:abstractNum w:abstractNumId="6" w15:restartNumberingAfterBreak="0">
    <w:nsid w:val="14D736D7"/>
    <w:multiLevelType w:val="hybridMultilevel"/>
    <w:tmpl w:val="311E9868"/>
    <w:lvl w:ilvl="0" w:tplc="F14C7460">
      <w:start w:val="1"/>
      <w:numFmt w:val="bullet"/>
      <w:lvlText w:val=""/>
      <w:lvlJc w:val="left"/>
      <w:pPr>
        <w:ind w:left="720" w:hanging="360"/>
      </w:pPr>
      <w:rPr>
        <w:rFonts w:ascii="Symbol" w:hAnsi="Symbol" w:hint="default"/>
      </w:rPr>
    </w:lvl>
    <w:lvl w:ilvl="1" w:tplc="ED14E102" w:tentative="1">
      <w:start w:val="1"/>
      <w:numFmt w:val="bullet"/>
      <w:lvlText w:val="o"/>
      <w:lvlJc w:val="left"/>
      <w:pPr>
        <w:ind w:left="1440" w:hanging="360"/>
      </w:pPr>
      <w:rPr>
        <w:rFonts w:ascii="Courier New" w:hAnsi="Courier New" w:cs="Courier New" w:hint="default"/>
      </w:rPr>
    </w:lvl>
    <w:lvl w:ilvl="2" w:tplc="A83A38A6" w:tentative="1">
      <w:start w:val="1"/>
      <w:numFmt w:val="bullet"/>
      <w:lvlText w:val=""/>
      <w:lvlJc w:val="left"/>
      <w:pPr>
        <w:ind w:left="2160" w:hanging="360"/>
      </w:pPr>
      <w:rPr>
        <w:rFonts w:ascii="Wingdings" w:hAnsi="Wingdings" w:hint="default"/>
      </w:rPr>
    </w:lvl>
    <w:lvl w:ilvl="3" w:tplc="B9F442E4" w:tentative="1">
      <w:start w:val="1"/>
      <w:numFmt w:val="bullet"/>
      <w:lvlText w:val=""/>
      <w:lvlJc w:val="left"/>
      <w:pPr>
        <w:ind w:left="2880" w:hanging="360"/>
      </w:pPr>
      <w:rPr>
        <w:rFonts w:ascii="Symbol" w:hAnsi="Symbol" w:hint="default"/>
      </w:rPr>
    </w:lvl>
    <w:lvl w:ilvl="4" w:tplc="6F129D18" w:tentative="1">
      <w:start w:val="1"/>
      <w:numFmt w:val="bullet"/>
      <w:lvlText w:val="o"/>
      <w:lvlJc w:val="left"/>
      <w:pPr>
        <w:ind w:left="3600" w:hanging="360"/>
      </w:pPr>
      <w:rPr>
        <w:rFonts w:ascii="Courier New" w:hAnsi="Courier New" w:cs="Courier New" w:hint="default"/>
      </w:rPr>
    </w:lvl>
    <w:lvl w:ilvl="5" w:tplc="3250AAC4" w:tentative="1">
      <w:start w:val="1"/>
      <w:numFmt w:val="bullet"/>
      <w:lvlText w:val=""/>
      <w:lvlJc w:val="left"/>
      <w:pPr>
        <w:ind w:left="4320" w:hanging="360"/>
      </w:pPr>
      <w:rPr>
        <w:rFonts w:ascii="Wingdings" w:hAnsi="Wingdings" w:hint="default"/>
      </w:rPr>
    </w:lvl>
    <w:lvl w:ilvl="6" w:tplc="93C8F11C" w:tentative="1">
      <w:start w:val="1"/>
      <w:numFmt w:val="bullet"/>
      <w:lvlText w:val=""/>
      <w:lvlJc w:val="left"/>
      <w:pPr>
        <w:ind w:left="5040" w:hanging="360"/>
      </w:pPr>
      <w:rPr>
        <w:rFonts w:ascii="Symbol" w:hAnsi="Symbol" w:hint="default"/>
      </w:rPr>
    </w:lvl>
    <w:lvl w:ilvl="7" w:tplc="68947530" w:tentative="1">
      <w:start w:val="1"/>
      <w:numFmt w:val="bullet"/>
      <w:lvlText w:val="o"/>
      <w:lvlJc w:val="left"/>
      <w:pPr>
        <w:ind w:left="5760" w:hanging="360"/>
      </w:pPr>
      <w:rPr>
        <w:rFonts w:ascii="Courier New" w:hAnsi="Courier New" w:cs="Courier New" w:hint="default"/>
      </w:rPr>
    </w:lvl>
    <w:lvl w:ilvl="8" w:tplc="186C4908" w:tentative="1">
      <w:start w:val="1"/>
      <w:numFmt w:val="bullet"/>
      <w:lvlText w:val=""/>
      <w:lvlJc w:val="left"/>
      <w:pPr>
        <w:ind w:left="6480" w:hanging="360"/>
      </w:pPr>
      <w:rPr>
        <w:rFonts w:ascii="Wingdings" w:hAnsi="Wingdings" w:hint="default"/>
      </w:rPr>
    </w:lvl>
  </w:abstractNum>
  <w:abstractNum w:abstractNumId="7" w15:restartNumberingAfterBreak="0">
    <w:nsid w:val="17CB0896"/>
    <w:multiLevelType w:val="hybridMultilevel"/>
    <w:tmpl w:val="A216A13C"/>
    <w:lvl w:ilvl="0" w:tplc="434082D8">
      <w:start w:val="1"/>
      <w:numFmt w:val="decimal"/>
      <w:lvlText w:val="%1."/>
      <w:lvlJc w:val="left"/>
      <w:pPr>
        <w:ind w:left="720" w:hanging="360"/>
      </w:pPr>
      <w:rPr>
        <w:rFonts w:hint="default"/>
      </w:rPr>
    </w:lvl>
    <w:lvl w:ilvl="1" w:tplc="0D40D616">
      <w:start w:val="1"/>
      <w:numFmt w:val="upperRoman"/>
      <w:lvlText w:val="%2."/>
      <w:lvlJc w:val="right"/>
      <w:pPr>
        <w:ind w:left="1440" w:hanging="360"/>
      </w:pPr>
      <w:rPr>
        <w:rFonts w:hint="default"/>
      </w:rPr>
    </w:lvl>
    <w:lvl w:ilvl="2" w:tplc="B5C00656">
      <w:start w:val="1"/>
      <w:numFmt w:val="lowerLetter"/>
      <w:lvlText w:val="%3)"/>
      <w:lvlJc w:val="left"/>
      <w:pPr>
        <w:ind w:left="2340" w:hanging="360"/>
      </w:pPr>
    </w:lvl>
    <w:lvl w:ilvl="3" w:tplc="750E1320" w:tentative="1">
      <w:start w:val="1"/>
      <w:numFmt w:val="decimal"/>
      <w:lvlText w:val="%4."/>
      <w:lvlJc w:val="left"/>
      <w:pPr>
        <w:ind w:left="2880" w:hanging="360"/>
      </w:pPr>
    </w:lvl>
    <w:lvl w:ilvl="4" w:tplc="3056B0C4" w:tentative="1">
      <w:start w:val="1"/>
      <w:numFmt w:val="lowerLetter"/>
      <w:lvlText w:val="%5."/>
      <w:lvlJc w:val="left"/>
      <w:pPr>
        <w:ind w:left="3600" w:hanging="360"/>
      </w:pPr>
    </w:lvl>
    <w:lvl w:ilvl="5" w:tplc="E56ACC48" w:tentative="1">
      <w:start w:val="1"/>
      <w:numFmt w:val="lowerRoman"/>
      <w:lvlText w:val="%6."/>
      <w:lvlJc w:val="right"/>
      <w:pPr>
        <w:ind w:left="4320" w:hanging="180"/>
      </w:pPr>
    </w:lvl>
    <w:lvl w:ilvl="6" w:tplc="7A882C34" w:tentative="1">
      <w:start w:val="1"/>
      <w:numFmt w:val="decimal"/>
      <w:lvlText w:val="%7."/>
      <w:lvlJc w:val="left"/>
      <w:pPr>
        <w:ind w:left="5040" w:hanging="360"/>
      </w:pPr>
    </w:lvl>
    <w:lvl w:ilvl="7" w:tplc="4BC678C2" w:tentative="1">
      <w:start w:val="1"/>
      <w:numFmt w:val="lowerLetter"/>
      <w:lvlText w:val="%8."/>
      <w:lvlJc w:val="left"/>
      <w:pPr>
        <w:ind w:left="5760" w:hanging="360"/>
      </w:pPr>
    </w:lvl>
    <w:lvl w:ilvl="8" w:tplc="29A8796C" w:tentative="1">
      <w:start w:val="1"/>
      <w:numFmt w:val="lowerRoman"/>
      <w:lvlText w:val="%9."/>
      <w:lvlJc w:val="right"/>
      <w:pPr>
        <w:ind w:left="6480" w:hanging="180"/>
      </w:pPr>
    </w:lvl>
  </w:abstractNum>
  <w:abstractNum w:abstractNumId="8" w15:restartNumberingAfterBreak="0">
    <w:nsid w:val="19A62E1C"/>
    <w:multiLevelType w:val="hybridMultilevel"/>
    <w:tmpl w:val="8E2A53B0"/>
    <w:lvl w:ilvl="0" w:tplc="E41220CE">
      <w:start w:val="1"/>
      <w:numFmt w:val="decimal"/>
      <w:lvlText w:val="%1."/>
      <w:lvlJc w:val="left"/>
      <w:pPr>
        <w:ind w:left="720" w:hanging="360"/>
      </w:pPr>
      <w:rPr>
        <w:rFonts w:hint="default"/>
      </w:rPr>
    </w:lvl>
    <w:lvl w:ilvl="1" w:tplc="D884BF18" w:tentative="1">
      <w:start w:val="1"/>
      <w:numFmt w:val="lowerLetter"/>
      <w:lvlText w:val="%2."/>
      <w:lvlJc w:val="left"/>
      <w:pPr>
        <w:ind w:left="1440" w:hanging="360"/>
      </w:pPr>
    </w:lvl>
    <w:lvl w:ilvl="2" w:tplc="6E34212C" w:tentative="1">
      <w:start w:val="1"/>
      <w:numFmt w:val="lowerRoman"/>
      <w:lvlText w:val="%3."/>
      <w:lvlJc w:val="right"/>
      <w:pPr>
        <w:ind w:left="2160" w:hanging="180"/>
      </w:pPr>
    </w:lvl>
    <w:lvl w:ilvl="3" w:tplc="13AC0696" w:tentative="1">
      <w:start w:val="1"/>
      <w:numFmt w:val="decimal"/>
      <w:lvlText w:val="%4."/>
      <w:lvlJc w:val="left"/>
      <w:pPr>
        <w:ind w:left="2880" w:hanging="360"/>
      </w:pPr>
    </w:lvl>
    <w:lvl w:ilvl="4" w:tplc="200833B8" w:tentative="1">
      <w:start w:val="1"/>
      <w:numFmt w:val="lowerLetter"/>
      <w:lvlText w:val="%5."/>
      <w:lvlJc w:val="left"/>
      <w:pPr>
        <w:ind w:left="3600" w:hanging="360"/>
      </w:pPr>
    </w:lvl>
    <w:lvl w:ilvl="5" w:tplc="86D0624A" w:tentative="1">
      <w:start w:val="1"/>
      <w:numFmt w:val="lowerRoman"/>
      <w:lvlText w:val="%6."/>
      <w:lvlJc w:val="right"/>
      <w:pPr>
        <w:ind w:left="4320" w:hanging="180"/>
      </w:pPr>
    </w:lvl>
    <w:lvl w:ilvl="6" w:tplc="0A9660D2" w:tentative="1">
      <w:start w:val="1"/>
      <w:numFmt w:val="decimal"/>
      <w:lvlText w:val="%7."/>
      <w:lvlJc w:val="left"/>
      <w:pPr>
        <w:ind w:left="5040" w:hanging="360"/>
      </w:pPr>
    </w:lvl>
    <w:lvl w:ilvl="7" w:tplc="DF7C1AF2" w:tentative="1">
      <w:start w:val="1"/>
      <w:numFmt w:val="lowerLetter"/>
      <w:lvlText w:val="%8."/>
      <w:lvlJc w:val="left"/>
      <w:pPr>
        <w:ind w:left="5760" w:hanging="360"/>
      </w:pPr>
    </w:lvl>
    <w:lvl w:ilvl="8" w:tplc="33465F10" w:tentative="1">
      <w:start w:val="1"/>
      <w:numFmt w:val="lowerRoman"/>
      <w:lvlText w:val="%9."/>
      <w:lvlJc w:val="right"/>
      <w:pPr>
        <w:ind w:left="6480" w:hanging="180"/>
      </w:pPr>
    </w:lvl>
  </w:abstractNum>
  <w:abstractNum w:abstractNumId="9" w15:restartNumberingAfterBreak="0">
    <w:nsid w:val="1ED0569F"/>
    <w:multiLevelType w:val="hybridMultilevel"/>
    <w:tmpl w:val="BBC85740"/>
    <w:lvl w:ilvl="0" w:tplc="B3961996">
      <w:numFmt w:val="bullet"/>
      <w:lvlText w:val="-"/>
      <w:lvlJc w:val="left"/>
      <w:pPr>
        <w:ind w:left="720" w:hanging="360"/>
      </w:pPr>
      <w:rPr>
        <w:rFonts w:ascii="Calibri" w:eastAsia="Times New Roman" w:hAnsi="Calibri" w:cs="Calibri" w:hint="default"/>
        <w:sz w:val="22"/>
      </w:rPr>
    </w:lvl>
    <w:lvl w:ilvl="1" w:tplc="14901C00" w:tentative="1">
      <w:start w:val="1"/>
      <w:numFmt w:val="bullet"/>
      <w:lvlText w:val="o"/>
      <w:lvlJc w:val="left"/>
      <w:pPr>
        <w:ind w:left="1440" w:hanging="360"/>
      </w:pPr>
      <w:rPr>
        <w:rFonts w:ascii="Courier New" w:hAnsi="Courier New" w:cs="Courier New" w:hint="default"/>
      </w:rPr>
    </w:lvl>
    <w:lvl w:ilvl="2" w:tplc="B44C7164" w:tentative="1">
      <w:start w:val="1"/>
      <w:numFmt w:val="bullet"/>
      <w:lvlText w:val=""/>
      <w:lvlJc w:val="left"/>
      <w:pPr>
        <w:ind w:left="2160" w:hanging="360"/>
      </w:pPr>
      <w:rPr>
        <w:rFonts w:ascii="Wingdings" w:hAnsi="Wingdings" w:hint="default"/>
      </w:rPr>
    </w:lvl>
    <w:lvl w:ilvl="3" w:tplc="74460670" w:tentative="1">
      <w:start w:val="1"/>
      <w:numFmt w:val="bullet"/>
      <w:lvlText w:val=""/>
      <w:lvlJc w:val="left"/>
      <w:pPr>
        <w:ind w:left="2880" w:hanging="360"/>
      </w:pPr>
      <w:rPr>
        <w:rFonts w:ascii="Symbol" w:hAnsi="Symbol" w:hint="default"/>
      </w:rPr>
    </w:lvl>
    <w:lvl w:ilvl="4" w:tplc="5702470A" w:tentative="1">
      <w:start w:val="1"/>
      <w:numFmt w:val="bullet"/>
      <w:lvlText w:val="o"/>
      <w:lvlJc w:val="left"/>
      <w:pPr>
        <w:ind w:left="3600" w:hanging="360"/>
      </w:pPr>
      <w:rPr>
        <w:rFonts w:ascii="Courier New" w:hAnsi="Courier New" w:cs="Courier New" w:hint="default"/>
      </w:rPr>
    </w:lvl>
    <w:lvl w:ilvl="5" w:tplc="BCBABFDC" w:tentative="1">
      <w:start w:val="1"/>
      <w:numFmt w:val="bullet"/>
      <w:lvlText w:val=""/>
      <w:lvlJc w:val="left"/>
      <w:pPr>
        <w:ind w:left="4320" w:hanging="360"/>
      </w:pPr>
      <w:rPr>
        <w:rFonts w:ascii="Wingdings" w:hAnsi="Wingdings" w:hint="default"/>
      </w:rPr>
    </w:lvl>
    <w:lvl w:ilvl="6" w:tplc="F6BE6184" w:tentative="1">
      <w:start w:val="1"/>
      <w:numFmt w:val="bullet"/>
      <w:lvlText w:val=""/>
      <w:lvlJc w:val="left"/>
      <w:pPr>
        <w:ind w:left="5040" w:hanging="360"/>
      </w:pPr>
      <w:rPr>
        <w:rFonts w:ascii="Symbol" w:hAnsi="Symbol" w:hint="default"/>
      </w:rPr>
    </w:lvl>
    <w:lvl w:ilvl="7" w:tplc="750015BA" w:tentative="1">
      <w:start w:val="1"/>
      <w:numFmt w:val="bullet"/>
      <w:lvlText w:val="o"/>
      <w:lvlJc w:val="left"/>
      <w:pPr>
        <w:ind w:left="5760" w:hanging="360"/>
      </w:pPr>
      <w:rPr>
        <w:rFonts w:ascii="Courier New" w:hAnsi="Courier New" w:cs="Courier New" w:hint="default"/>
      </w:rPr>
    </w:lvl>
    <w:lvl w:ilvl="8" w:tplc="F244CEC2" w:tentative="1">
      <w:start w:val="1"/>
      <w:numFmt w:val="bullet"/>
      <w:lvlText w:val=""/>
      <w:lvlJc w:val="left"/>
      <w:pPr>
        <w:ind w:left="6480" w:hanging="360"/>
      </w:pPr>
      <w:rPr>
        <w:rFonts w:ascii="Wingdings" w:hAnsi="Wingdings" w:hint="default"/>
      </w:rPr>
    </w:lvl>
  </w:abstractNum>
  <w:abstractNum w:abstractNumId="10" w15:restartNumberingAfterBreak="0">
    <w:nsid w:val="21917765"/>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0F4EBE"/>
    <w:multiLevelType w:val="hybridMultilevel"/>
    <w:tmpl w:val="DD56C66A"/>
    <w:lvl w:ilvl="0" w:tplc="4B1CD070">
      <w:start w:val="1"/>
      <w:numFmt w:val="decimal"/>
      <w:lvlText w:val="%1."/>
      <w:lvlJc w:val="left"/>
      <w:pPr>
        <w:tabs>
          <w:tab w:val="num" w:pos="720"/>
        </w:tabs>
        <w:ind w:left="720" w:hanging="360"/>
      </w:pPr>
    </w:lvl>
    <w:lvl w:ilvl="1" w:tplc="F2902F16">
      <w:start w:val="1"/>
      <w:numFmt w:val="upperRoman"/>
      <w:lvlText w:val="%2."/>
      <w:lvlJc w:val="right"/>
      <w:pPr>
        <w:ind w:left="1440" w:hanging="360"/>
      </w:pPr>
    </w:lvl>
    <w:lvl w:ilvl="2" w:tplc="AB80BF7C">
      <w:start w:val="1"/>
      <w:numFmt w:val="lowerRoman"/>
      <w:lvlText w:val="%3."/>
      <w:lvlJc w:val="right"/>
      <w:pPr>
        <w:ind w:left="2160" w:hanging="360"/>
      </w:pPr>
    </w:lvl>
    <w:lvl w:ilvl="3" w:tplc="70363712" w:tentative="1">
      <w:start w:val="1"/>
      <w:numFmt w:val="decimal"/>
      <w:lvlText w:val="%4."/>
      <w:lvlJc w:val="left"/>
      <w:pPr>
        <w:tabs>
          <w:tab w:val="num" w:pos="2880"/>
        </w:tabs>
        <w:ind w:left="2880" w:hanging="360"/>
      </w:pPr>
    </w:lvl>
    <w:lvl w:ilvl="4" w:tplc="217E5362" w:tentative="1">
      <w:start w:val="1"/>
      <w:numFmt w:val="decimal"/>
      <w:lvlText w:val="%5."/>
      <w:lvlJc w:val="left"/>
      <w:pPr>
        <w:tabs>
          <w:tab w:val="num" w:pos="3600"/>
        </w:tabs>
        <w:ind w:left="3600" w:hanging="360"/>
      </w:pPr>
    </w:lvl>
    <w:lvl w:ilvl="5" w:tplc="46602D7C" w:tentative="1">
      <w:start w:val="1"/>
      <w:numFmt w:val="decimal"/>
      <w:lvlText w:val="%6."/>
      <w:lvlJc w:val="left"/>
      <w:pPr>
        <w:tabs>
          <w:tab w:val="num" w:pos="4320"/>
        </w:tabs>
        <w:ind w:left="4320" w:hanging="360"/>
      </w:pPr>
    </w:lvl>
    <w:lvl w:ilvl="6" w:tplc="469A0734" w:tentative="1">
      <w:start w:val="1"/>
      <w:numFmt w:val="decimal"/>
      <w:lvlText w:val="%7."/>
      <w:lvlJc w:val="left"/>
      <w:pPr>
        <w:tabs>
          <w:tab w:val="num" w:pos="5040"/>
        </w:tabs>
        <w:ind w:left="5040" w:hanging="360"/>
      </w:pPr>
    </w:lvl>
    <w:lvl w:ilvl="7" w:tplc="D450B018" w:tentative="1">
      <w:start w:val="1"/>
      <w:numFmt w:val="decimal"/>
      <w:lvlText w:val="%8."/>
      <w:lvlJc w:val="left"/>
      <w:pPr>
        <w:tabs>
          <w:tab w:val="num" w:pos="5760"/>
        </w:tabs>
        <w:ind w:left="5760" w:hanging="360"/>
      </w:pPr>
    </w:lvl>
    <w:lvl w:ilvl="8" w:tplc="0052AC9A" w:tentative="1">
      <w:start w:val="1"/>
      <w:numFmt w:val="decimal"/>
      <w:lvlText w:val="%9."/>
      <w:lvlJc w:val="left"/>
      <w:pPr>
        <w:tabs>
          <w:tab w:val="num" w:pos="6480"/>
        </w:tabs>
        <w:ind w:left="6480" w:hanging="360"/>
      </w:pPr>
    </w:lvl>
  </w:abstractNum>
  <w:abstractNum w:abstractNumId="12" w15:restartNumberingAfterBreak="0">
    <w:nsid w:val="24C272CF"/>
    <w:multiLevelType w:val="hybridMultilevel"/>
    <w:tmpl w:val="93A8315A"/>
    <w:lvl w:ilvl="0" w:tplc="F9168300">
      <w:start w:val="1"/>
      <w:numFmt w:val="bullet"/>
      <w:lvlText w:val=""/>
      <w:lvlJc w:val="left"/>
      <w:pPr>
        <w:ind w:left="360" w:hanging="360"/>
      </w:pPr>
      <w:rPr>
        <w:rFonts w:ascii="Symbol" w:hAnsi="Symbol" w:hint="default"/>
      </w:rPr>
    </w:lvl>
    <w:lvl w:ilvl="1" w:tplc="235863EC" w:tentative="1">
      <w:start w:val="1"/>
      <w:numFmt w:val="bullet"/>
      <w:lvlText w:val="o"/>
      <w:lvlJc w:val="left"/>
      <w:pPr>
        <w:ind w:left="1080" w:hanging="360"/>
      </w:pPr>
      <w:rPr>
        <w:rFonts w:ascii="Courier New" w:hAnsi="Courier New" w:cs="Courier New" w:hint="default"/>
      </w:rPr>
    </w:lvl>
    <w:lvl w:ilvl="2" w:tplc="EB3C0756" w:tentative="1">
      <w:start w:val="1"/>
      <w:numFmt w:val="bullet"/>
      <w:lvlText w:val=""/>
      <w:lvlJc w:val="left"/>
      <w:pPr>
        <w:ind w:left="1800" w:hanging="360"/>
      </w:pPr>
      <w:rPr>
        <w:rFonts w:ascii="Wingdings" w:hAnsi="Wingdings" w:hint="default"/>
      </w:rPr>
    </w:lvl>
    <w:lvl w:ilvl="3" w:tplc="B2B66D98" w:tentative="1">
      <w:start w:val="1"/>
      <w:numFmt w:val="bullet"/>
      <w:lvlText w:val=""/>
      <w:lvlJc w:val="left"/>
      <w:pPr>
        <w:ind w:left="2520" w:hanging="360"/>
      </w:pPr>
      <w:rPr>
        <w:rFonts w:ascii="Symbol" w:hAnsi="Symbol" w:hint="default"/>
      </w:rPr>
    </w:lvl>
    <w:lvl w:ilvl="4" w:tplc="DB803F6C" w:tentative="1">
      <w:start w:val="1"/>
      <w:numFmt w:val="bullet"/>
      <w:lvlText w:val="o"/>
      <w:lvlJc w:val="left"/>
      <w:pPr>
        <w:ind w:left="3240" w:hanging="360"/>
      </w:pPr>
      <w:rPr>
        <w:rFonts w:ascii="Courier New" w:hAnsi="Courier New" w:cs="Courier New" w:hint="default"/>
      </w:rPr>
    </w:lvl>
    <w:lvl w:ilvl="5" w:tplc="92A44930" w:tentative="1">
      <w:start w:val="1"/>
      <w:numFmt w:val="bullet"/>
      <w:lvlText w:val=""/>
      <w:lvlJc w:val="left"/>
      <w:pPr>
        <w:ind w:left="3960" w:hanging="360"/>
      </w:pPr>
      <w:rPr>
        <w:rFonts w:ascii="Wingdings" w:hAnsi="Wingdings" w:hint="default"/>
      </w:rPr>
    </w:lvl>
    <w:lvl w:ilvl="6" w:tplc="150CAD82" w:tentative="1">
      <w:start w:val="1"/>
      <w:numFmt w:val="bullet"/>
      <w:lvlText w:val=""/>
      <w:lvlJc w:val="left"/>
      <w:pPr>
        <w:ind w:left="4680" w:hanging="360"/>
      </w:pPr>
      <w:rPr>
        <w:rFonts w:ascii="Symbol" w:hAnsi="Symbol" w:hint="default"/>
      </w:rPr>
    </w:lvl>
    <w:lvl w:ilvl="7" w:tplc="F1F8624A" w:tentative="1">
      <w:start w:val="1"/>
      <w:numFmt w:val="bullet"/>
      <w:lvlText w:val="o"/>
      <w:lvlJc w:val="left"/>
      <w:pPr>
        <w:ind w:left="5400" w:hanging="360"/>
      </w:pPr>
      <w:rPr>
        <w:rFonts w:ascii="Courier New" w:hAnsi="Courier New" w:cs="Courier New" w:hint="default"/>
      </w:rPr>
    </w:lvl>
    <w:lvl w:ilvl="8" w:tplc="2DF0A6DA" w:tentative="1">
      <w:start w:val="1"/>
      <w:numFmt w:val="bullet"/>
      <w:lvlText w:val=""/>
      <w:lvlJc w:val="left"/>
      <w:pPr>
        <w:ind w:left="6120" w:hanging="360"/>
      </w:pPr>
      <w:rPr>
        <w:rFonts w:ascii="Wingdings" w:hAnsi="Wingdings" w:hint="default"/>
      </w:rPr>
    </w:lvl>
  </w:abstractNum>
  <w:abstractNum w:abstractNumId="13" w15:restartNumberingAfterBreak="0">
    <w:nsid w:val="28742B59"/>
    <w:multiLevelType w:val="hybridMultilevel"/>
    <w:tmpl w:val="D3E484A4"/>
    <w:lvl w:ilvl="0" w:tplc="37202E82">
      <w:start w:val="1"/>
      <w:numFmt w:val="decimal"/>
      <w:lvlText w:val="%1."/>
      <w:lvlJc w:val="left"/>
      <w:pPr>
        <w:tabs>
          <w:tab w:val="num" w:pos="720"/>
        </w:tabs>
        <w:ind w:left="720" w:hanging="360"/>
      </w:pPr>
      <w:rPr>
        <w:rFonts w:hint="default"/>
      </w:rPr>
    </w:lvl>
    <w:lvl w:ilvl="1" w:tplc="78D86A10">
      <w:start w:val="1"/>
      <w:numFmt w:val="lowerLetter"/>
      <w:lvlText w:val="%2."/>
      <w:lvlJc w:val="left"/>
      <w:pPr>
        <w:ind w:left="1440" w:hanging="360"/>
      </w:pPr>
    </w:lvl>
    <w:lvl w:ilvl="2" w:tplc="817C1686">
      <w:start w:val="1"/>
      <w:numFmt w:val="lowerRoman"/>
      <w:lvlText w:val="%3."/>
      <w:lvlJc w:val="right"/>
      <w:pPr>
        <w:ind w:left="2160" w:hanging="180"/>
      </w:pPr>
    </w:lvl>
    <w:lvl w:ilvl="3" w:tplc="87A6918A" w:tentative="1">
      <w:start w:val="1"/>
      <w:numFmt w:val="decimal"/>
      <w:lvlText w:val="%4."/>
      <w:lvlJc w:val="left"/>
      <w:pPr>
        <w:ind w:left="2880" w:hanging="360"/>
      </w:pPr>
    </w:lvl>
    <w:lvl w:ilvl="4" w:tplc="F19692B6" w:tentative="1">
      <w:start w:val="1"/>
      <w:numFmt w:val="lowerLetter"/>
      <w:lvlText w:val="%5."/>
      <w:lvlJc w:val="left"/>
      <w:pPr>
        <w:ind w:left="3600" w:hanging="360"/>
      </w:pPr>
    </w:lvl>
    <w:lvl w:ilvl="5" w:tplc="D2C21C7C" w:tentative="1">
      <w:start w:val="1"/>
      <w:numFmt w:val="lowerRoman"/>
      <w:lvlText w:val="%6."/>
      <w:lvlJc w:val="right"/>
      <w:pPr>
        <w:ind w:left="4320" w:hanging="180"/>
      </w:pPr>
    </w:lvl>
    <w:lvl w:ilvl="6" w:tplc="187A6D90" w:tentative="1">
      <w:start w:val="1"/>
      <w:numFmt w:val="decimal"/>
      <w:lvlText w:val="%7."/>
      <w:lvlJc w:val="left"/>
      <w:pPr>
        <w:ind w:left="5040" w:hanging="360"/>
      </w:pPr>
    </w:lvl>
    <w:lvl w:ilvl="7" w:tplc="8BCA6DE8" w:tentative="1">
      <w:start w:val="1"/>
      <w:numFmt w:val="lowerLetter"/>
      <w:lvlText w:val="%8."/>
      <w:lvlJc w:val="left"/>
      <w:pPr>
        <w:ind w:left="5760" w:hanging="360"/>
      </w:pPr>
    </w:lvl>
    <w:lvl w:ilvl="8" w:tplc="E5A809AE" w:tentative="1">
      <w:start w:val="1"/>
      <w:numFmt w:val="lowerRoman"/>
      <w:lvlText w:val="%9."/>
      <w:lvlJc w:val="right"/>
      <w:pPr>
        <w:ind w:left="6480" w:hanging="180"/>
      </w:pPr>
    </w:lvl>
  </w:abstractNum>
  <w:abstractNum w:abstractNumId="14" w15:restartNumberingAfterBreak="0">
    <w:nsid w:val="2F7139D7"/>
    <w:multiLevelType w:val="hybridMultilevel"/>
    <w:tmpl w:val="3F90EEA2"/>
    <w:lvl w:ilvl="0" w:tplc="1324B8CC">
      <w:start w:val="1"/>
      <w:numFmt w:val="bullet"/>
      <w:lvlText w:val=""/>
      <w:lvlJc w:val="left"/>
      <w:pPr>
        <w:ind w:left="720" w:hanging="360"/>
      </w:pPr>
      <w:rPr>
        <w:rFonts w:ascii="Symbol" w:hAnsi="Symbol" w:hint="default"/>
      </w:rPr>
    </w:lvl>
    <w:lvl w:ilvl="1" w:tplc="E300242C" w:tentative="1">
      <w:start w:val="1"/>
      <w:numFmt w:val="bullet"/>
      <w:lvlText w:val="o"/>
      <w:lvlJc w:val="left"/>
      <w:pPr>
        <w:ind w:left="1440" w:hanging="360"/>
      </w:pPr>
      <w:rPr>
        <w:rFonts w:ascii="Courier New" w:hAnsi="Courier New" w:cs="Courier New" w:hint="default"/>
      </w:rPr>
    </w:lvl>
    <w:lvl w:ilvl="2" w:tplc="00CCFA4C" w:tentative="1">
      <w:start w:val="1"/>
      <w:numFmt w:val="bullet"/>
      <w:lvlText w:val=""/>
      <w:lvlJc w:val="left"/>
      <w:pPr>
        <w:ind w:left="2160" w:hanging="360"/>
      </w:pPr>
      <w:rPr>
        <w:rFonts w:ascii="Wingdings" w:hAnsi="Wingdings" w:hint="default"/>
      </w:rPr>
    </w:lvl>
    <w:lvl w:ilvl="3" w:tplc="BFFA81F0" w:tentative="1">
      <w:start w:val="1"/>
      <w:numFmt w:val="bullet"/>
      <w:lvlText w:val=""/>
      <w:lvlJc w:val="left"/>
      <w:pPr>
        <w:ind w:left="2880" w:hanging="360"/>
      </w:pPr>
      <w:rPr>
        <w:rFonts w:ascii="Symbol" w:hAnsi="Symbol" w:hint="default"/>
      </w:rPr>
    </w:lvl>
    <w:lvl w:ilvl="4" w:tplc="4548533E" w:tentative="1">
      <w:start w:val="1"/>
      <w:numFmt w:val="bullet"/>
      <w:lvlText w:val="o"/>
      <w:lvlJc w:val="left"/>
      <w:pPr>
        <w:ind w:left="3600" w:hanging="360"/>
      </w:pPr>
      <w:rPr>
        <w:rFonts w:ascii="Courier New" w:hAnsi="Courier New" w:cs="Courier New" w:hint="default"/>
      </w:rPr>
    </w:lvl>
    <w:lvl w:ilvl="5" w:tplc="CEF65A5A" w:tentative="1">
      <w:start w:val="1"/>
      <w:numFmt w:val="bullet"/>
      <w:lvlText w:val=""/>
      <w:lvlJc w:val="left"/>
      <w:pPr>
        <w:ind w:left="4320" w:hanging="360"/>
      </w:pPr>
      <w:rPr>
        <w:rFonts w:ascii="Wingdings" w:hAnsi="Wingdings" w:hint="default"/>
      </w:rPr>
    </w:lvl>
    <w:lvl w:ilvl="6" w:tplc="A3163068" w:tentative="1">
      <w:start w:val="1"/>
      <w:numFmt w:val="bullet"/>
      <w:lvlText w:val=""/>
      <w:lvlJc w:val="left"/>
      <w:pPr>
        <w:ind w:left="5040" w:hanging="360"/>
      </w:pPr>
      <w:rPr>
        <w:rFonts w:ascii="Symbol" w:hAnsi="Symbol" w:hint="default"/>
      </w:rPr>
    </w:lvl>
    <w:lvl w:ilvl="7" w:tplc="5DE2FF86" w:tentative="1">
      <w:start w:val="1"/>
      <w:numFmt w:val="bullet"/>
      <w:lvlText w:val="o"/>
      <w:lvlJc w:val="left"/>
      <w:pPr>
        <w:ind w:left="5760" w:hanging="360"/>
      </w:pPr>
      <w:rPr>
        <w:rFonts w:ascii="Courier New" w:hAnsi="Courier New" w:cs="Courier New" w:hint="default"/>
      </w:rPr>
    </w:lvl>
    <w:lvl w:ilvl="8" w:tplc="8228A672" w:tentative="1">
      <w:start w:val="1"/>
      <w:numFmt w:val="bullet"/>
      <w:lvlText w:val=""/>
      <w:lvlJc w:val="left"/>
      <w:pPr>
        <w:ind w:left="6480" w:hanging="360"/>
      </w:pPr>
      <w:rPr>
        <w:rFonts w:ascii="Wingdings" w:hAnsi="Wingdings" w:hint="default"/>
      </w:rPr>
    </w:lvl>
  </w:abstractNum>
  <w:abstractNum w:abstractNumId="15" w15:restartNumberingAfterBreak="0">
    <w:nsid w:val="315675BD"/>
    <w:multiLevelType w:val="hybridMultilevel"/>
    <w:tmpl w:val="3F0CF8C2"/>
    <w:lvl w:ilvl="0" w:tplc="22242978">
      <w:start w:val="1"/>
      <w:numFmt w:val="decimal"/>
      <w:lvlText w:val="%1."/>
      <w:lvlJc w:val="left"/>
      <w:pPr>
        <w:tabs>
          <w:tab w:val="num" w:pos="720"/>
        </w:tabs>
        <w:ind w:left="720" w:hanging="360"/>
      </w:pPr>
    </w:lvl>
    <w:lvl w:ilvl="1" w:tplc="3E0CB9A0">
      <w:start w:val="1"/>
      <w:numFmt w:val="upperRoman"/>
      <w:lvlText w:val="%2."/>
      <w:lvlJc w:val="right"/>
      <w:pPr>
        <w:tabs>
          <w:tab w:val="num" w:pos="1440"/>
        </w:tabs>
        <w:ind w:left="1440" w:hanging="360"/>
      </w:pPr>
    </w:lvl>
    <w:lvl w:ilvl="2" w:tplc="C8726228" w:tentative="1">
      <w:start w:val="1"/>
      <w:numFmt w:val="decimal"/>
      <w:lvlText w:val="%3."/>
      <w:lvlJc w:val="left"/>
      <w:pPr>
        <w:tabs>
          <w:tab w:val="num" w:pos="2160"/>
        </w:tabs>
        <w:ind w:left="2160" w:hanging="360"/>
      </w:pPr>
    </w:lvl>
    <w:lvl w:ilvl="3" w:tplc="36D843AC" w:tentative="1">
      <w:start w:val="1"/>
      <w:numFmt w:val="decimal"/>
      <w:lvlText w:val="%4."/>
      <w:lvlJc w:val="left"/>
      <w:pPr>
        <w:tabs>
          <w:tab w:val="num" w:pos="2880"/>
        </w:tabs>
        <w:ind w:left="2880" w:hanging="360"/>
      </w:pPr>
    </w:lvl>
    <w:lvl w:ilvl="4" w:tplc="6AB8A24C" w:tentative="1">
      <w:start w:val="1"/>
      <w:numFmt w:val="decimal"/>
      <w:lvlText w:val="%5."/>
      <w:lvlJc w:val="left"/>
      <w:pPr>
        <w:tabs>
          <w:tab w:val="num" w:pos="3600"/>
        </w:tabs>
        <w:ind w:left="3600" w:hanging="360"/>
      </w:pPr>
    </w:lvl>
    <w:lvl w:ilvl="5" w:tplc="B4F800E4" w:tentative="1">
      <w:start w:val="1"/>
      <w:numFmt w:val="decimal"/>
      <w:lvlText w:val="%6."/>
      <w:lvlJc w:val="left"/>
      <w:pPr>
        <w:tabs>
          <w:tab w:val="num" w:pos="4320"/>
        </w:tabs>
        <w:ind w:left="4320" w:hanging="360"/>
      </w:pPr>
    </w:lvl>
    <w:lvl w:ilvl="6" w:tplc="91889222" w:tentative="1">
      <w:start w:val="1"/>
      <w:numFmt w:val="decimal"/>
      <w:lvlText w:val="%7."/>
      <w:lvlJc w:val="left"/>
      <w:pPr>
        <w:tabs>
          <w:tab w:val="num" w:pos="5040"/>
        </w:tabs>
        <w:ind w:left="5040" w:hanging="360"/>
      </w:pPr>
    </w:lvl>
    <w:lvl w:ilvl="7" w:tplc="97B80374" w:tentative="1">
      <w:start w:val="1"/>
      <w:numFmt w:val="decimal"/>
      <w:lvlText w:val="%8."/>
      <w:lvlJc w:val="left"/>
      <w:pPr>
        <w:tabs>
          <w:tab w:val="num" w:pos="5760"/>
        </w:tabs>
        <w:ind w:left="5760" w:hanging="360"/>
      </w:pPr>
    </w:lvl>
    <w:lvl w:ilvl="8" w:tplc="CA6AE0EE" w:tentative="1">
      <w:start w:val="1"/>
      <w:numFmt w:val="decimal"/>
      <w:lvlText w:val="%9."/>
      <w:lvlJc w:val="left"/>
      <w:pPr>
        <w:tabs>
          <w:tab w:val="num" w:pos="6480"/>
        </w:tabs>
        <w:ind w:left="6480" w:hanging="360"/>
      </w:pPr>
    </w:lvl>
  </w:abstractNum>
  <w:abstractNum w:abstractNumId="16" w15:restartNumberingAfterBreak="0">
    <w:nsid w:val="333F2354"/>
    <w:multiLevelType w:val="hybridMultilevel"/>
    <w:tmpl w:val="FF32BB02"/>
    <w:lvl w:ilvl="0" w:tplc="6FDE0BF8">
      <w:start w:val="1"/>
      <w:numFmt w:val="decimal"/>
      <w:lvlText w:val="%1."/>
      <w:lvlJc w:val="left"/>
      <w:pPr>
        <w:ind w:left="720" w:hanging="360"/>
      </w:pPr>
    </w:lvl>
    <w:lvl w:ilvl="1" w:tplc="A3A0B3B0" w:tentative="1">
      <w:start w:val="1"/>
      <w:numFmt w:val="lowerLetter"/>
      <w:lvlText w:val="%2."/>
      <w:lvlJc w:val="left"/>
      <w:pPr>
        <w:ind w:left="1440" w:hanging="360"/>
      </w:pPr>
    </w:lvl>
    <w:lvl w:ilvl="2" w:tplc="FED4BB9C" w:tentative="1">
      <w:start w:val="1"/>
      <w:numFmt w:val="lowerRoman"/>
      <w:lvlText w:val="%3."/>
      <w:lvlJc w:val="right"/>
      <w:pPr>
        <w:ind w:left="2160" w:hanging="180"/>
      </w:pPr>
    </w:lvl>
    <w:lvl w:ilvl="3" w:tplc="081C5428" w:tentative="1">
      <w:start w:val="1"/>
      <w:numFmt w:val="decimal"/>
      <w:lvlText w:val="%4."/>
      <w:lvlJc w:val="left"/>
      <w:pPr>
        <w:ind w:left="2880" w:hanging="360"/>
      </w:pPr>
    </w:lvl>
    <w:lvl w:ilvl="4" w:tplc="DEA62122" w:tentative="1">
      <w:start w:val="1"/>
      <w:numFmt w:val="lowerLetter"/>
      <w:lvlText w:val="%5."/>
      <w:lvlJc w:val="left"/>
      <w:pPr>
        <w:ind w:left="3600" w:hanging="360"/>
      </w:pPr>
    </w:lvl>
    <w:lvl w:ilvl="5" w:tplc="573E78E0" w:tentative="1">
      <w:start w:val="1"/>
      <w:numFmt w:val="lowerRoman"/>
      <w:lvlText w:val="%6."/>
      <w:lvlJc w:val="right"/>
      <w:pPr>
        <w:ind w:left="4320" w:hanging="180"/>
      </w:pPr>
    </w:lvl>
    <w:lvl w:ilvl="6" w:tplc="AB486FFE" w:tentative="1">
      <w:start w:val="1"/>
      <w:numFmt w:val="decimal"/>
      <w:lvlText w:val="%7."/>
      <w:lvlJc w:val="left"/>
      <w:pPr>
        <w:ind w:left="5040" w:hanging="360"/>
      </w:pPr>
    </w:lvl>
    <w:lvl w:ilvl="7" w:tplc="F6827F1C" w:tentative="1">
      <w:start w:val="1"/>
      <w:numFmt w:val="lowerLetter"/>
      <w:lvlText w:val="%8."/>
      <w:lvlJc w:val="left"/>
      <w:pPr>
        <w:ind w:left="5760" w:hanging="360"/>
      </w:pPr>
    </w:lvl>
    <w:lvl w:ilvl="8" w:tplc="D89A31E4" w:tentative="1">
      <w:start w:val="1"/>
      <w:numFmt w:val="lowerRoman"/>
      <w:lvlText w:val="%9."/>
      <w:lvlJc w:val="right"/>
      <w:pPr>
        <w:ind w:left="6480" w:hanging="180"/>
      </w:pPr>
    </w:lvl>
  </w:abstractNum>
  <w:abstractNum w:abstractNumId="17" w15:restartNumberingAfterBreak="0">
    <w:nsid w:val="36E52F54"/>
    <w:multiLevelType w:val="hybridMultilevel"/>
    <w:tmpl w:val="D4E26E2C"/>
    <w:lvl w:ilvl="0" w:tplc="32BA7956">
      <w:start w:val="1"/>
      <w:numFmt w:val="decimal"/>
      <w:lvlText w:val="%1."/>
      <w:lvlJc w:val="left"/>
      <w:pPr>
        <w:ind w:left="720" w:hanging="360"/>
      </w:pPr>
      <w:rPr>
        <w:rFonts w:hint="default"/>
      </w:rPr>
    </w:lvl>
    <w:lvl w:ilvl="1" w:tplc="7032918A">
      <w:start w:val="1"/>
      <w:numFmt w:val="upperRoman"/>
      <w:lvlText w:val="%2."/>
      <w:lvlJc w:val="right"/>
      <w:pPr>
        <w:ind w:left="1440" w:hanging="360"/>
      </w:pPr>
    </w:lvl>
    <w:lvl w:ilvl="2" w:tplc="D4962434" w:tentative="1">
      <w:start w:val="1"/>
      <w:numFmt w:val="lowerRoman"/>
      <w:lvlText w:val="%3."/>
      <w:lvlJc w:val="right"/>
      <w:pPr>
        <w:ind w:left="2160" w:hanging="180"/>
      </w:pPr>
    </w:lvl>
    <w:lvl w:ilvl="3" w:tplc="35543910" w:tentative="1">
      <w:start w:val="1"/>
      <w:numFmt w:val="decimal"/>
      <w:lvlText w:val="%4."/>
      <w:lvlJc w:val="left"/>
      <w:pPr>
        <w:ind w:left="2880" w:hanging="360"/>
      </w:pPr>
    </w:lvl>
    <w:lvl w:ilvl="4" w:tplc="8028179A" w:tentative="1">
      <w:start w:val="1"/>
      <w:numFmt w:val="lowerLetter"/>
      <w:lvlText w:val="%5."/>
      <w:lvlJc w:val="left"/>
      <w:pPr>
        <w:ind w:left="3600" w:hanging="360"/>
      </w:pPr>
    </w:lvl>
    <w:lvl w:ilvl="5" w:tplc="EB723A02" w:tentative="1">
      <w:start w:val="1"/>
      <w:numFmt w:val="lowerRoman"/>
      <w:lvlText w:val="%6."/>
      <w:lvlJc w:val="right"/>
      <w:pPr>
        <w:ind w:left="4320" w:hanging="180"/>
      </w:pPr>
    </w:lvl>
    <w:lvl w:ilvl="6" w:tplc="D36EC08A" w:tentative="1">
      <w:start w:val="1"/>
      <w:numFmt w:val="decimal"/>
      <w:lvlText w:val="%7."/>
      <w:lvlJc w:val="left"/>
      <w:pPr>
        <w:ind w:left="5040" w:hanging="360"/>
      </w:pPr>
    </w:lvl>
    <w:lvl w:ilvl="7" w:tplc="E8165C1E" w:tentative="1">
      <w:start w:val="1"/>
      <w:numFmt w:val="lowerLetter"/>
      <w:lvlText w:val="%8."/>
      <w:lvlJc w:val="left"/>
      <w:pPr>
        <w:ind w:left="5760" w:hanging="360"/>
      </w:pPr>
    </w:lvl>
    <w:lvl w:ilvl="8" w:tplc="5F0839CA" w:tentative="1">
      <w:start w:val="1"/>
      <w:numFmt w:val="lowerRoman"/>
      <w:lvlText w:val="%9."/>
      <w:lvlJc w:val="right"/>
      <w:pPr>
        <w:ind w:left="6480" w:hanging="180"/>
      </w:pPr>
    </w:lvl>
  </w:abstractNum>
  <w:abstractNum w:abstractNumId="18" w15:restartNumberingAfterBreak="0">
    <w:nsid w:val="37267930"/>
    <w:multiLevelType w:val="hybridMultilevel"/>
    <w:tmpl w:val="9B08EEB0"/>
    <w:lvl w:ilvl="0" w:tplc="D92AA11E">
      <w:start w:val="1"/>
      <w:numFmt w:val="decimal"/>
      <w:lvlText w:val="%1."/>
      <w:lvlJc w:val="left"/>
      <w:pPr>
        <w:ind w:left="786" w:hanging="360"/>
      </w:pPr>
      <w:rPr>
        <w:rFonts w:hint="default"/>
      </w:rPr>
    </w:lvl>
    <w:lvl w:ilvl="1" w:tplc="97CA9B7A" w:tentative="1">
      <w:start w:val="1"/>
      <w:numFmt w:val="lowerLetter"/>
      <w:lvlText w:val="%2."/>
      <w:lvlJc w:val="left"/>
      <w:pPr>
        <w:ind w:left="1440" w:hanging="360"/>
      </w:pPr>
    </w:lvl>
    <w:lvl w:ilvl="2" w:tplc="45B22EA6" w:tentative="1">
      <w:start w:val="1"/>
      <w:numFmt w:val="lowerRoman"/>
      <w:lvlText w:val="%3."/>
      <w:lvlJc w:val="right"/>
      <w:pPr>
        <w:ind w:left="2160" w:hanging="180"/>
      </w:pPr>
    </w:lvl>
    <w:lvl w:ilvl="3" w:tplc="0CE033A8" w:tentative="1">
      <w:start w:val="1"/>
      <w:numFmt w:val="decimal"/>
      <w:lvlText w:val="%4."/>
      <w:lvlJc w:val="left"/>
      <w:pPr>
        <w:ind w:left="2880" w:hanging="360"/>
      </w:pPr>
    </w:lvl>
    <w:lvl w:ilvl="4" w:tplc="03E0E7DE" w:tentative="1">
      <w:start w:val="1"/>
      <w:numFmt w:val="lowerLetter"/>
      <w:lvlText w:val="%5."/>
      <w:lvlJc w:val="left"/>
      <w:pPr>
        <w:ind w:left="3600" w:hanging="360"/>
      </w:pPr>
    </w:lvl>
    <w:lvl w:ilvl="5" w:tplc="B23A0D88" w:tentative="1">
      <w:start w:val="1"/>
      <w:numFmt w:val="lowerRoman"/>
      <w:lvlText w:val="%6."/>
      <w:lvlJc w:val="right"/>
      <w:pPr>
        <w:ind w:left="4320" w:hanging="180"/>
      </w:pPr>
    </w:lvl>
    <w:lvl w:ilvl="6" w:tplc="8160B8B8" w:tentative="1">
      <w:start w:val="1"/>
      <w:numFmt w:val="decimal"/>
      <w:lvlText w:val="%7."/>
      <w:lvlJc w:val="left"/>
      <w:pPr>
        <w:ind w:left="5040" w:hanging="360"/>
      </w:pPr>
    </w:lvl>
    <w:lvl w:ilvl="7" w:tplc="0B40F60A" w:tentative="1">
      <w:start w:val="1"/>
      <w:numFmt w:val="lowerLetter"/>
      <w:lvlText w:val="%8."/>
      <w:lvlJc w:val="left"/>
      <w:pPr>
        <w:ind w:left="5760" w:hanging="360"/>
      </w:pPr>
    </w:lvl>
    <w:lvl w:ilvl="8" w:tplc="6E646E6E" w:tentative="1">
      <w:start w:val="1"/>
      <w:numFmt w:val="lowerRoman"/>
      <w:lvlText w:val="%9."/>
      <w:lvlJc w:val="right"/>
      <w:pPr>
        <w:ind w:left="6480" w:hanging="180"/>
      </w:pPr>
    </w:lvl>
  </w:abstractNum>
  <w:abstractNum w:abstractNumId="19" w15:restartNumberingAfterBreak="0">
    <w:nsid w:val="373D54D5"/>
    <w:multiLevelType w:val="hybridMultilevel"/>
    <w:tmpl w:val="88F0E92C"/>
    <w:lvl w:ilvl="0" w:tplc="5476BF78">
      <w:start w:val="1"/>
      <w:numFmt w:val="bullet"/>
      <w:lvlText w:val=""/>
      <w:lvlJc w:val="left"/>
      <w:pPr>
        <w:ind w:left="720" w:hanging="360"/>
      </w:pPr>
      <w:rPr>
        <w:rFonts w:ascii="Symbol" w:hAnsi="Symbol" w:hint="default"/>
      </w:rPr>
    </w:lvl>
    <w:lvl w:ilvl="1" w:tplc="D6CAA554" w:tentative="1">
      <w:start w:val="1"/>
      <w:numFmt w:val="bullet"/>
      <w:lvlText w:val="o"/>
      <w:lvlJc w:val="left"/>
      <w:pPr>
        <w:ind w:left="1440" w:hanging="360"/>
      </w:pPr>
      <w:rPr>
        <w:rFonts w:ascii="Courier New" w:hAnsi="Courier New" w:cs="Courier New" w:hint="default"/>
      </w:rPr>
    </w:lvl>
    <w:lvl w:ilvl="2" w:tplc="285CC69E" w:tentative="1">
      <w:start w:val="1"/>
      <w:numFmt w:val="bullet"/>
      <w:lvlText w:val=""/>
      <w:lvlJc w:val="left"/>
      <w:pPr>
        <w:ind w:left="2160" w:hanging="360"/>
      </w:pPr>
      <w:rPr>
        <w:rFonts w:ascii="Wingdings" w:hAnsi="Wingdings" w:hint="default"/>
      </w:rPr>
    </w:lvl>
    <w:lvl w:ilvl="3" w:tplc="5192CE72" w:tentative="1">
      <w:start w:val="1"/>
      <w:numFmt w:val="bullet"/>
      <w:lvlText w:val=""/>
      <w:lvlJc w:val="left"/>
      <w:pPr>
        <w:ind w:left="2880" w:hanging="360"/>
      </w:pPr>
      <w:rPr>
        <w:rFonts w:ascii="Symbol" w:hAnsi="Symbol" w:hint="default"/>
      </w:rPr>
    </w:lvl>
    <w:lvl w:ilvl="4" w:tplc="7D940484" w:tentative="1">
      <w:start w:val="1"/>
      <w:numFmt w:val="bullet"/>
      <w:lvlText w:val="o"/>
      <w:lvlJc w:val="left"/>
      <w:pPr>
        <w:ind w:left="3600" w:hanging="360"/>
      </w:pPr>
      <w:rPr>
        <w:rFonts w:ascii="Courier New" w:hAnsi="Courier New" w:cs="Courier New" w:hint="default"/>
      </w:rPr>
    </w:lvl>
    <w:lvl w:ilvl="5" w:tplc="970AFB74" w:tentative="1">
      <w:start w:val="1"/>
      <w:numFmt w:val="bullet"/>
      <w:lvlText w:val=""/>
      <w:lvlJc w:val="left"/>
      <w:pPr>
        <w:ind w:left="4320" w:hanging="360"/>
      </w:pPr>
      <w:rPr>
        <w:rFonts w:ascii="Wingdings" w:hAnsi="Wingdings" w:hint="default"/>
      </w:rPr>
    </w:lvl>
    <w:lvl w:ilvl="6" w:tplc="2ED4F644" w:tentative="1">
      <w:start w:val="1"/>
      <w:numFmt w:val="bullet"/>
      <w:lvlText w:val=""/>
      <w:lvlJc w:val="left"/>
      <w:pPr>
        <w:ind w:left="5040" w:hanging="360"/>
      </w:pPr>
      <w:rPr>
        <w:rFonts w:ascii="Symbol" w:hAnsi="Symbol" w:hint="default"/>
      </w:rPr>
    </w:lvl>
    <w:lvl w:ilvl="7" w:tplc="34D669D6" w:tentative="1">
      <w:start w:val="1"/>
      <w:numFmt w:val="bullet"/>
      <w:lvlText w:val="o"/>
      <w:lvlJc w:val="left"/>
      <w:pPr>
        <w:ind w:left="5760" w:hanging="360"/>
      </w:pPr>
      <w:rPr>
        <w:rFonts w:ascii="Courier New" w:hAnsi="Courier New" w:cs="Courier New" w:hint="default"/>
      </w:rPr>
    </w:lvl>
    <w:lvl w:ilvl="8" w:tplc="98A68FF6" w:tentative="1">
      <w:start w:val="1"/>
      <w:numFmt w:val="bullet"/>
      <w:lvlText w:val=""/>
      <w:lvlJc w:val="left"/>
      <w:pPr>
        <w:ind w:left="6480" w:hanging="360"/>
      </w:pPr>
      <w:rPr>
        <w:rFonts w:ascii="Wingdings" w:hAnsi="Wingdings" w:hint="default"/>
      </w:rPr>
    </w:lvl>
  </w:abstractNum>
  <w:abstractNum w:abstractNumId="20" w15:restartNumberingAfterBreak="0">
    <w:nsid w:val="3A1F6CA7"/>
    <w:multiLevelType w:val="hybridMultilevel"/>
    <w:tmpl w:val="97FAB9A8"/>
    <w:lvl w:ilvl="0" w:tplc="0270C834">
      <w:start w:val="3"/>
      <w:numFmt w:val="decimal"/>
      <w:lvlText w:val="%1."/>
      <w:lvlJc w:val="left"/>
      <w:pPr>
        <w:ind w:left="720" w:hanging="360"/>
      </w:pPr>
      <w:rPr>
        <w:rFonts w:hint="default"/>
      </w:rPr>
    </w:lvl>
    <w:lvl w:ilvl="1" w:tplc="29CE2628">
      <w:start w:val="1"/>
      <w:numFmt w:val="upperRoman"/>
      <w:lvlText w:val="%2."/>
      <w:lvlJc w:val="right"/>
      <w:pPr>
        <w:ind w:left="1260" w:hanging="180"/>
      </w:pPr>
    </w:lvl>
    <w:lvl w:ilvl="2" w:tplc="1BBA2144" w:tentative="1">
      <w:start w:val="1"/>
      <w:numFmt w:val="lowerRoman"/>
      <w:lvlText w:val="%3."/>
      <w:lvlJc w:val="right"/>
      <w:pPr>
        <w:ind w:left="2160" w:hanging="180"/>
      </w:pPr>
    </w:lvl>
    <w:lvl w:ilvl="3" w:tplc="7EDE7ED6" w:tentative="1">
      <w:start w:val="1"/>
      <w:numFmt w:val="decimal"/>
      <w:lvlText w:val="%4."/>
      <w:lvlJc w:val="left"/>
      <w:pPr>
        <w:ind w:left="2880" w:hanging="360"/>
      </w:pPr>
    </w:lvl>
    <w:lvl w:ilvl="4" w:tplc="63A4ECA2" w:tentative="1">
      <w:start w:val="1"/>
      <w:numFmt w:val="lowerLetter"/>
      <w:lvlText w:val="%5."/>
      <w:lvlJc w:val="left"/>
      <w:pPr>
        <w:ind w:left="3600" w:hanging="360"/>
      </w:pPr>
    </w:lvl>
    <w:lvl w:ilvl="5" w:tplc="9858F5B2" w:tentative="1">
      <w:start w:val="1"/>
      <w:numFmt w:val="lowerRoman"/>
      <w:lvlText w:val="%6."/>
      <w:lvlJc w:val="right"/>
      <w:pPr>
        <w:ind w:left="4320" w:hanging="180"/>
      </w:pPr>
    </w:lvl>
    <w:lvl w:ilvl="6" w:tplc="5600C314" w:tentative="1">
      <w:start w:val="1"/>
      <w:numFmt w:val="decimal"/>
      <w:lvlText w:val="%7."/>
      <w:lvlJc w:val="left"/>
      <w:pPr>
        <w:ind w:left="5040" w:hanging="360"/>
      </w:pPr>
    </w:lvl>
    <w:lvl w:ilvl="7" w:tplc="8F5E920A" w:tentative="1">
      <w:start w:val="1"/>
      <w:numFmt w:val="lowerLetter"/>
      <w:lvlText w:val="%8."/>
      <w:lvlJc w:val="left"/>
      <w:pPr>
        <w:ind w:left="5760" w:hanging="360"/>
      </w:pPr>
    </w:lvl>
    <w:lvl w:ilvl="8" w:tplc="2A0EE578" w:tentative="1">
      <w:start w:val="1"/>
      <w:numFmt w:val="lowerRoman"/>
      <w:lvlText w:val="%9."/>
      <w:lvlJc w:val="right"/>
      <w:pPr>
        <w:ind w:left="6480" w:hanging="180"/>
      </w:pPr>
    </w:lvl>
  </w:abstractNum>
  <w:abstractNum w:abstractNumId="21" w15:restartNumberingAfterBreak="0">
    <w:nsid w:val="3B5B6497"/>
    <w:multiLevelType w:val="hybridMultilevel"/>
    <w:tmpl w:val="95A8D1A8"/>
    <w:lvl w:ilvl="0" w:tplc="467457D4">
      <w:start w:val="1"/>
      <w:numFmt w:val="decimal"/>
      <w:lvlText w:val="%1."/>
      <w:lvlJc w:val="left"/>
      <w:pPr>
        <w:tabs>
          <w:tab w:val="num" w:pos="720"/>
        </w:tabs>
        <w:ind w:left="720" w:hanging="360"/>
      </w:pPr>
    </w:lvl>
    <w:lvl w:ilvl="1" w:tplc="E3302644">
      <w:start w:val="1"/>
      <w:numFmt w:val="lowerRoman"/>
      <w:lvlText w:val="%2."/>
      <w:lvlJc w:val="right"/>
      <w:pPr>
        <w:ind w:left="1440" w:hanging="360"/>
      </w:pPr>
    </w:lvl>
    <w:lvl w:ilvl="2" w:tplc="7298C60C" w:tentative="1">
      <w:start w:val="1"/>
      <w:numFmt w:val="decimal"/>
      <w:lvlText w:val="%3."/>
      <w:lvlJc w:val="left"/>
      <w:pPr>
        <w:tabs>
          <w:tab w:val="num" w:pos="2160"/>
        </w:tabs>
        <w:ind w:left="2160" w:hanging="360"/>
      </w:pPr>
    </w:lvl>
    <w:lvl w:ilvl="3" w:tplc="43B046FA" w:tentative="1">
      <w:start w:val="1"/>
      <w:numFmt w:val="decimal"/>
      <w:lvlText w:val="%4."/>
      <w:lvlJc w:val="left"/>
      <w:pPr>
        <w:tabs>
          <w:tab w:val="num" w:pos="2880"/>
        </w:tabs>
        <w:ind w:left="2880" w:hanging="360"/>
      </w:pPr>
    </w:lvl>
    <w:lvl w:ilvl="4" w:tplc="592E90BC" w:tentative="1">
      <w:start w:val="1"/>
      <w:numFmt w:val="decimal"/>
      <w:lvlText w:val="%5."/>
      <w:lvlJc w:val="left"/>
      <w:pPr>
        <w:tabs>
          <w:tab w:val="num" w:pos="3600"/>
        </w:tabs>
        <w:ind w:left="3600" w:hanging="360"/>
      </w:pPr>
    </w:lvl>
    <w:lvl w:ilvl="5" w:tplc="1EFE4EF2" w:tentative="1">
      <w:start w:val="1"/>
      <w:numFmt w:val="decimal"/>
      <w:lvlText w:val="%6."/>
      <w:lvlJc w:val="left"/>
      <w:pPr>
        <w:tabs>
          <w:tab w:val="num" w:pos="4320"/>
        </w:tabs>
        <w:ind w:left="4320" w:hanging="360"/>
      </w:pPr>
    </w:lvl>
    <w:lvl w:ilvl="6" w:tplc="2FEE0AA6" w:tentative="1">
      <w:start w:val="1"/>
      <w:numFmt w:val="decimal"/>
      <w:lvlText w:val="%7."/>
      <w:lvlJc w:val="left"/>
      <w:pPr>
        <w:tabs>
          <w:tab w:val="num" w:pos="5040"/>
        </w:tabs>
        <w:ind w:left="5040" w:hanging="360"/>
      </w:pPr>
    </w:lvl>
    <w:lvl w:ilvl="7" w:tplc="E2848928" w:tentative="1">
      <w:start w:val="1"/>
      <w:numFmt w:val="decimal"/>
      <w:lvlText w:val="%8."/>
      <w:lvlJc w:val="left"/>
      <w:pPr>
        <w:tabs>
          <w:tab w:val="num" w:pos="5760"/>
        </w:tabs>
        <w:ind w:left="5760" w:hanging="360"/>
      </w:pPr>
    </w:lvl>
    <w:lvl w:ilvl="8" w:tplc="55FAE828" w:tentative="1">
      <w:start w:val="1"/>
      <w:numFmt w:val="decimal"/>
      <w:lvlText w:val="%9."/>
      <w:lvlJc w:val="left"/>
      <w:pPr>
        <w:tabs>
          <w:tab w:val="num" w:pos="6480"/>
        </w:tabs>
        <w:ind w:left="6480" w:hanging="360"/>
      </w:pPr>
    </w:lvl>
  </w:abstractNum>
  <w:abstractNum w:abstractNumId="22" w15:restartNumberingAfterBreak="0">
    <w:nsid w:val="415638D4"/>
    <w:multiLevelType w:val="hybridMultilevel"/>
    <w:tmpl w:val="0778F12A"/>
    <w:lvl w:ilvl="0" w:tplc="B45E2F3A">
      <w:start w:val="2"/>
      <w:numFmt w:val="decimal"/>
      <w:lvlText w:val="%1."/>
      <w:lvlJc w:val="left"/>
      <w:pPr>
        <w:tabs>
          <w:tab w:val="num" w:pos="720"/>
        </w:tabs>
        <w:ind w:left="720" w:hanging="360"/>
      </w:pPr>
      <w:rPr>
        <w:sz w:val="18"/>
        <w:szCs w:val="18"/>
      </w:rPr>
    </w:lvl>
    <w:lvl w:ilvl="1" w:tplc="2F66A09E" w:tentative="1">
      <w:start w:val="1"/>
      <w:numFmt w:val="decimal"/>
      <w:lvlText w:val="%2."/>
      <w:lvlJc w:val="left"/>
      <w:pPr>
        <w:tabs>
          <w:tab w:val="num" w:pos="1440"/>
        </w:tabs>
        <w:ind w:left="1440" w:hanging="360"/>
      </w:pPr>
    </w:lvl>
    <w:lvl w:ilvl="2" w:tplc="7CD0C910" w:tentative="1">
      <w:start w:val="1"/>
      <w:numFmt w:val="decimal"/>
      <w:lvlText w:val="%3."/>
      <w:lvlJc w:val="left"/>
      <w:pPr>
        <w:tabs>
          <w:tab w:val="num" w:pos="2160"/>
        </w:tabs>
        <w:ind w:left="2160" w:hanging="360"/>
      </w:pPr>
    </w:lvl>
    <w:lvl w:ilvl="3" w:tplc="17F0A64A" w:tentative="1">
      <w:start w:val="1"/>
      <w:numFmt w:val="decimal"/>
      <w:lvlText w:val="%4."/>
      <w:lvlJc w:val="left"/>
      <w:pPr>
        <w:tabs>
          <w:tab w:val="num" w:pos="2880"/>
        </w:tabs>
        <w:ind w:left="2880" w:hanging="360"/>
      </w:pPr>
    </w:lvl>
    <w:lvl w:ilvl="4" w:tplc="0654476A" w:tentative="1">
      <w:start w:val="1"/>
      <w:numFmt w:val="decimal"/>
      <w:lvlText w:val="%5."/>
      <w:lvlJc w:val="left"/>
      <w:pPr>
        <w:tabs>
          <w:tab w:val="num" w:pos="3600"/>
        </w:tabs>
        <w:ind w:left="3600" w:hanging="360"/>
      </w:pPr>
    </w:lvl>
    <w:lvl w:ilvl="5" w:tplc="06DEDB6E" w:tentative="1">
      <w:start w:val="1"/>
      <w:numFmt w:val="decimal"/>
      <w:lvlText w:val="%6."/>
      <w:lvlJc w:val="left"/>
      <w:pPr>
        <w:tabs>
          <w:tab w:val="num" w:pos="4320"/>
        </w:tabs>
        <w:ind w:left="4320" w:hanging="360"/>
      </w:pPr>
    </w:lvl>
    <w:lvl w:ilvl="6" w:tplc="BF50E232" w:tentative="1">
      <w:start w:val="1"/>
      <w:numFmt w:val="decimal"/>
      <w:lvlText w:val="%7."/>
      <w:lvlJc w:val="left"/>
      <w:pPr>
        <w:tabs>
          <w:tab w:val="num" w:pos="5040"/>
        </w:tabs>
        <w:ind w:left="5040" w:hanging="360"/>
      </w:pPr>
    </w:lvl>
    <w:lvl w:ilvl="7" w:tplc="29CCE066" w:tentative="1">
      <w:start w:val="1"/>
      <w:numFmt w:val="decimal"/>
      <w:lvlText w:val="%8."/>
      <w:lvlJc w:val="left"/>
      <w:pPr>
        <w:tabs>
          <w:tab w:val="num" w:pos="5760"/>
        </w:tabs>
        <w:ind w:left="5760" w:hanging="360"/>
      </w:pPr>
    </w:lvl>
    <w:lvl w:ilvl="8" w:tplc="6B38B244" w:tentative="1">
      <w:start w:val="1"/>
      <w:numFmt w:val="decimal"/>
      <w:lvlText w:val="%9."/>
      <w:lvlJc w:val="left"/>
      <w:pPr>
        <w:tabs>
          <w:tab w:val="num" w:pos="6480"/>
        </w:tabs>
        <w:ind w:left="6480" w:hanging="360"/>
      </w:pPr>
    </w:lvl>
  </w:abstractNum>
  <w:abstractNum w:abstractNumId="23" w15:restartNumberingAfterBreak="0">
    <w:nsid w:val="44C45083"/>
    <w:multiLevelType w:val="multilevel"/>
    <w:tmpl w:val="95C0534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991826"/>
    <w:multiLevelType w:val="hybridMultilevel"/>
    <w:tmpl w:val="12FA45F4"/>
    <w:lvl w:ilvl="0" w:tplc="9DF684F8">
      <w:start w:val="1"/>
      <w:numFmt w:val="decimal"/>
      <w:lvlText w:val="%1."/>
      <w:lvlJc w:val="left"/>
      <w:pPr>
        <w:ind w:left="720" w:hanging="360"/>
      </w:pPr>
      <w:rPr>
        <w:rFonts w:hint="default"/>
      </w:rPr>
    </w:lvl>
    <w:lvl w:ilvl="1" w:tplc="7FCEA896" w:tentative="1">
      <w:start w:val="1"/>
      <w:numFmt w:val="lowerLetter"/>
      <w:lvlText w:val="%2."/>
      <w:lvlJc w:val="left"/>
      <w:pPr>
        <w:ind w:left="1440" w:hanging="360"/>
      </w:pPr>
    </w:lvl>
    <w:lvl w:ilvl="2" w:tplc="0150AB0C" w:tentative="1">
      <w:start w:val="1"/>
      <w:numFmt w:val="lowerRoman"/>
      <w:lvlText w:val="%3."/>
      <w:lvlJc w:val="right"/>
      <w:pPr>
        <w:ind w:left="2160" w:hanging="180"/>
      </w:pPr>
    </w:lvl>
    <w:lvl w:ilvl="3" w:tplc="99CCAA60" w:tentative="1">
      <w:start w:val="1"/>
      <w:numFmt w:val="decimal"/>
      <w:lvlText w:val="%4."/>
      <w:lvlJc w:val="left"/>
      <w:pPr>
        <w:ind w:left="2880" w:hanging="360"/>
      </w:pPr>
    </w:lvl>
    <w:lvl w:ilvl="4" w:tplc="BE00B730" w:tentative="1">
      <w:start w:val="1"/>
      <w:numFmt w:val="lowerLetter"/>
      <w:lvlText w:val="%5."/>
      <w:lvlJc w:val="left"/>
      <w:pPr>
        <w:ind w:left="3600" w:hanging="360"/>
      </w:pPr>
    </w:lvl>
    <w:lvl w:ilvl="5" w:tplc="2400807E" w:tentative="1">
      <w:start w:val="1"/>
      <w:numFmt w:val="lowerRoman"/>
      <w:lvlText w:val="%6."/>
      <w:lvlJc w:val="right"/>
      <w:pPr>
        <w:ind w:left="4320" w:hanging="180"/>
      </w:pPr>
    </w:lvl>
    <w:lvl w:ilvl="6" w:tplc="E676002C" w:tentative="1">
      <w:start w:val="1"/>
      <w:numFmt w:val="decimal"/>
      <w:lvlText w:val="%7."/>
      <w:lvlJc w:val="left"/>
      <w:pPr>
        <w:ind w:left="5040" w:hanging="360"/>
      </w:pPr>
    </w:lvl>
    <w:lvl w:ilvl="7" w:tplc="D98C9334" w:tentative="1">
      <w:start w:val="1"/>
      <w:numFmt w:val="lowerLetter"/>
      <w:lvlText w:val="%8."/>
      <w:lvlJc w:val="left"/>
      <w:pPr>
        <w:ind w:left="5760" w:hanging="360"/>
      </w:pPr>
    </w:lvl>
    <w:lvl w:ilvl="8" w:tplc="D36A3ACC" w:tentative="1">
      <w:start w:val="1"/>
      <w:numFmt w:val="lowerRoman"/>
      <w:lvlText w:val="%9."/>
      <w:lvlJc w:val="right"/>
      <w:pPr>
        <w:ind w:left="6480" w:hanging="180"/>
      </w:pPr>
    </w:lvl>
  </w:abstractNum>
  <w:abstractNum w:abstractNumId="25" w15:restartNumberingAfterBreak="0">
    <w:nsid w:val="4B540F19"/>
    <w:multiLevelType w:val="hybridMultilevel"/>
    <w:tmpl w:val="ADDAFE1C"/>
    <w:lvl w:ilvl="0" w:tplc="1D303A86">
      <w:start w:val="1"/>
      <w:numFmt w:val="upperRoman"/>
      <w:lvlText w:val="%1."/>
      <w:lvlJc w:val="right"/>
      <w:pPr>
        <w:ind w:left="1440" w:hanging="360"/>
      </w:pPr>
      <w:rPr>
        <w:rFonts w:hint="default"/>
      </w:rPr>
    </w:lvl>
    <w:lvl w:ilvl="1" w:tplc="87B24B7E" w:tentative="1">
      <w:start w:val="1"/>
      <w:numFmt w:val="lowerLetter"/>
      <w:lvlText w:val="%2."/>
      <w:lvlJc w:val="left"/>
      <w:pPr>
        <w:ind w:left="1440" w:hanging="360"/>
      </w:pPr>
    </w:lvl>
    <w:lvl w:ilvl="2" w:tplc="A29A556A" w:tentative="1">
      <w:start w:val="1"/>
      <w:numFmt w:val="lowerRoman"/>
      <w:lvlText w:val="%3."/>
      <w:lvlJc w:val="right"/>
      <w:pPr>
        <w:ind w:left="2160" w:hanging="180"/>
      </w:pPr>
    </w:lvl>
    <w:lvl w:ilvl="3" w:tplc="242AAF86" w:tentative="1">
      <w:start w:val="1"/>
      <w:numFmt w:val="decimal"/>
      <w:lvlText w:val="%4."/>
      <w:lvlJc w:val="left"/>
      <w:pPr>
        <w:ind w:left="2880" w:hanging="360"/>
      </w:pPr>
    </w:lvl>
    <w:lvl w:ilvl="4" w:tplc="4964F762" w:tentative="1">
      <w:start w:val="1"/>
      <w:numFmt w:val="lowerLetter"/>
      <w:lvlText w:val="%5."/>
      <w:lvlJc w:val="left"/>
      <w:pPr>
        <w:ind w:left="3600" w:hanging="360"/>
      </w:pPr>
    </w:lvl>
    <w:lvl w:ilvl="5" w:tplc="3580F3AE" w:tentative="1">
      <w:start w:val="1"/>
      <w:numFmt w:val="lowerRoman"/>
      <w:lvlText w:val="%6."/>
      <w:lvlJc w:val="right"/>
      <w:pPr>
        <w:ind w:left="4320" w:hanging="180"/>
      </w:pPr>
    </w:lvl>
    <w:lvl w:ilvl="6" w:tplc="23F6D95C" w:tentative="1">
      <w:start w:val="1"/>
      <w:numFmt w:val="decimal"/>
      <w:lvlText w:val="%7."/>
      <w:lvlJc w:val="left"/>
      <w:pPr>
        <w:ind w:left="5040" w:hanging="360"/>
      </w:pPr>
    </w:lvl>
    <w:lvl w:ilvl="7" w:tplc="5FFCB488" w:tentative="1">
      <w:start w:val="1"/>
      <w:numFmt w:val="lowerLetter"/>
      <w:lvlText w:val="%8."/>
      <w:lvlJc w:val="left"/>
      <w:pPr>
        <w:ind w:left="5760" w:hanging="360"/>
      </w:pPr>
    </w:lvl>
    <w:lvl w:ilvl="8" w:tplc="5A8C2A56" w:tentative="1">
      <w:start w:val="1"/>
      <w:numFmt w:val="lowerRoman"/>
      <w:lvlText w:val="%9."/>
      <w:lvlJc w:val="right"/>
      <w:pPr>
        <w:ind w:left="6480" w:hanging="180"/>
      </w:pPr>
    </w:lvl>
  </w:abstractNum>
  <w:abstractNum w:abstractNumId="26" w15:restartNumberingAfterBreak="0">
    <w:nsid w:val="4CEE0FD8"/>
    <w:multiLevelType w:val="hybridMultilevel"/>
    <w:tmpl w:val="9354A90A"/>
    <w:lvl w:ilvl="0" w:tplc="74B0E8C4">
      <w:start w:val="3"/>
      <w:numFmt w:val="decimal"/>
      <w:lvlText w:val="%1."/>
      <w:lvlJc w:val="left"/>
      <w:pPr>
        <w:tabs>
          <w:tab w:val="num" w:pos="720"/>
        </w:tabs>
        <w:ind w:left="720" w:hanging="360"/>
      </w:pPr>
    </w:lvl>
    <w:lvl w:ilvl="1" w:tplc="2D3477B8" w:tentative="1">
      <w:start w:val="1"/>
      <w:numFmt w:val="decimal"/>
      <w:lvlText w:val="%2."/>
      <w:lvlJc w:val="left"/>
      <w:pPr>
        <w:tabs>
          <w:tab w:val="num" w:pos="1440"/>
        </w:tabs>
        <w:ind w:left="1440" w:hanging="360"/>
      </w:pPr>
    </w:lvl>
    <w:lvl w:ilvl="2" w:tplc="2F4A97A6" w:tentative="1">
      <w:start w:val="1"/>
      <w:numFmt w:val="decimal"/>
      <w:lvlText w:val="%3."/>
      <w:lvlJc w:val="left"/>
      <w:pPr>
        <w:tabs>
          <w:tab w:val="num" w:pos="2160"/>
        </w:tabs>
        <w:ind w:left="2160" w:hanging="360"/>
      </w:pPr>
    </w:lvl>
    <w:lvl w:ilvl="3" w:tplc="245093F4" w:tentative="1">
      <w:start w:val="1"/>
      <w:numFmt w:val="decimal"/>
      <w:lvlText w:val="%4."/>
      <w:lvlJc w:val="left"/>
      <w:pPr>
        <w:tabs>
          <w:tab w:val="num" w:pos="2880"/>
        </w:tabs>
        <w:ind w:left="2880" w:hanging="360"/>
      </w:pPr>
    </w:lvl>
    <w:lvl w:ilvl="4" w:tplc="87E00E1C" w:tentative="1">
      <w:start w:val="1"/>
      <w:numFmt w:val="decimal"/>
      <w:lvlText w:val="%5."/>
      <w:lvlJc w:val="left"/>
      <w:pPr>
        <w:tabs>
          <w:tab w:val="num" w:pos="3600"/>
        </w:tabs>
        <w:ind w:left="3600" w:hanging="360"/>
      </w:pPr>
    </w:lvl>
    <w:lvl w:ilvl="5" w:tplc="850ED4F6" w:tentative="1">
      <w:start w:val="1"/>
      <w:numFmt w:val="decimal"/>
      <w:lvlText w:val="%6."/>
      <w:lvlJc w:val="left"/>
      <w:pPr>
        <w:tabs>
          <w:tab w:val="num" w:pos="4320"/>
        </w:tabs>
        <w:ind w:left="4320" w:hanging="360"/>
      </w:pPr>
    </w:lvl>
    <w:lvl w:ilvl="6" w:tplc="95069892" w:tentative="1">
      <w:start w:val="1"/>
      <w:numFmt w:val="decimal"/>
      <w:lvlText w:val="%7."/>
      <w:lvlJc w:val="left"/>
      <w:pPr>
        <w:tabs>
          <w:tab w:val="num" w:pos="5040"/>
        </w:tabs>
        <w:ind w:left="5040" w:hanging="360"/>
      </w:pPr>
    </w:lvl>
    <w:lvl w:ilvl="7" w:tplc="AC3AD746" w:tentative="1">
      <w:start w:val="1"/>
      <w:numFmt w:val="decimal"/>
      <w:lvlText w:val="%8."/>
      <w:lvlJc w:val="left"/>
      <w:pPr>
        <w:tabs>
          <w:tab w:val="num" w:pos="5760"/>
        </w:tabs>
        <w:ind w:left="5760" w:hanging="360"/>
      </w:pPr>
    </w:lvl>
    <w:lvl w:ilvl="8" w:tplc="4C7CA1AE" w:tentative="1">
      <w:start w:val="1"/>
      <w:numFmt w:val="decimal"/>
      <w:lvlText w:val="%9."/>
      <w:lvlJc w:val="left"/>
      <w:pPr>
        <w:tabs>
          <w:tab w:val="num" w:pos="6480"/>
        </w:tabs>
        <w:ind w:left="6480" w:hanging="360"/>
      </w:pPr>
    </w:lvl>
  </w:abstractNum>
  <w:abstractNum w:abstractNumId="27" w15:restartNumberingAfterBreak="0">
    <w:nsid w:val="4D2A1765"/>
    <w:multiLevelType w:val="hybridMultilevel"/>
    <w:tmpl w:val="423459CC"/>
    <w:lvl w:ilvl="0" w:tplc="CE647140">
      <w:start w:val="1"/>
      <w:numFmt w:val="decimal"/>
      <w:lvlText w:val="%1."/>
      <w:lvlJc w:val="left"/>
      <w:pPr>
        <w:tabs>
          <w:tab w:val="num" w:pos="720"/>
        </w:tabs>
        <w:ind w:left="720" w:hanging="360"/>
      </w:pPr>
    </w:lvl>
    <w:lvl w:ilvl="1" w:tplc="19228B72">
      <w:start w:val="257"/>
      <w:numFmt w:val="bullet"/>
      <w:lvlText w:val="•"/>
      <w:lvlJc w:val="left"/>
      <w:pPr>
        <w:tabs>
          <w:tab w:val="num" w:pos="1440"/>
        </w:tabs>
        <w:ind w:left="1440" w:hanging="360"/>
      </w:pPr>
      <w:rPr>
        <w:rFonts w:ascii="Arial" w:hAnsi="Arial" w:hint="default"/>
      </w:rPr>
    </w:lvl>
    <w:lvl w:ilvl="2" w:tplc="29A056AE" w:tentative="1">
      <w:start w:val="1"/>
      <w:numFmt w:val="decimal"/>
      <w:lvlText w:val="%3."/>
      <w:lvlJc w:val="left"/>
      <w:pPr>
        <w:tabs>
          <w:tab w:val="num" w:pos="2160"/>
        </w:tabs>
        <w:ind w:left="2160" w:hanging="360"/>
      </w:pPr>
    </w:lvl>
    <w:lvl w:ilvl="3" w:tplc="E71498CA" w:tentative="1">
      <w:start w:val="1"/>
      <w:numFmt w:val="decimal"/>
      <w:lvlText w:val="%4."/>
      <w:lvlJc w:val="left"/>
      <w:pPr>
        <w:tabs>
          <w:tab w:val="num" w:pos="2880"/>
        </w:tabs>
        <w:ind w:left="2880" w:hanging="360"/>
      </w:pPr>
    </w:lvl>
    <w:lvl w:ilvl="4" w:tplc="EF30896A" w:tentative="1">
      <w:start w:val="1"/>
      <w:numFmt w:val="decimal"/>
      <w:lvlText w:val="%5."/>
      <w:lvlJc w:val="left"/>
      <w:pPr>
        <w:tabs>
          <w:tab w:val="num" w:pos="3600"/>
        </w:tabs>
        <w:ind w:left="3600" w:hanging="360"/>
      </w:pPr>
    </w:lvl>
    <w:lvl w:ilvl="5" w:tplc="532890F0" w:tentative="1">
      <w:start w:val="1"/>
      <w:numFmt w:val="decimal"/>
      <w:lvlText w:val="%6."/>
      <w:lvlJc w:val="left"/>
      <w:pPr>
        <w:tabs>
          <w:tab w:val="num" w:pos="4320"/>
        </w:tabs>
        <w:ind w:left="4320" w:hanging="360"/>
      </w:pPr>
    </w:lvl>
    <w:lvl w:ilvl="6" w:tplc="AA68EE4C" w:tentative="1">
      <w:start w:val="1"/>
      <w:numFmt w:val="decimal"/>
      <w:lvlText w:val="%7."/>
      <w:lvlJc w:val="left"/>
      <w:pPr>
        <w:tabs>
          <w:tab w:val="num" w:pos="5040"/>
        </w:tabs>
        <w:ind w:left="5040" w:hanging="360"/>
      </w:pPr>
    </w:lvl>
    <w:lvl w:ilvl="7" w:tplc="61DE0E8E" w:tentative="1">
      <w:start w:val="1"/>
      <w:numFmt w:val="decimal"/>
      <w:lvlText w:val="%8."/>
      <w:lvlJc w:val="left"/>
      <w:pPr>
        <w:tabs>
          <w:tab w:val="num" w:pos="5760"/>
        </w:tabs>
        <w:ind w:left="5760" w:hanging="360"/>
      </w:pPr>
    </w:lvl>
    <w:lvl w:ilvl="8" w:tplc="9ADED97A" w:tentative="1">
      <w:start w:val="1"/>
      <w:numFmt w:val="decimal"/>
      <w:lvlText w:val="%9."/>
      <w:lvlJc w:val="left"/>
      <w:pPr>
        <w:tabs>
          <w:tab w:val="num" w:pos="6480"/>
        </w:tabs>
        <w:ind w:left="6480" w:hanging="360"/>
      </w:pPr>
    </w:lvl>
  </w:abstractNum>
  <w:abstractNum w:abstractNumId="28" w15:restartNumberingAfterBreak="0">
    <w:nsid w:val="53B05F15"/>
    <w:multiLevelType w:val="hybridMultilevel"/>
    <w:tmpl w:val="F3B403C8"/>
    <w:lvl w:ilvl="0" w:tplc="E9E23160">
      <w:start w:val="1"/>
      <w:numFmt w:val="decimal"/>
      <w:lvlText w:val="%1."/>
      <w:lvlJc w:val="left"/>
      <w:pPr>
        <w:ind w:left="360" w:hanging="360"/>
      </w:pPr>
      <w:rPr>
        <w:rFonts w:hint="default"/>
      </w:rPr>
    </w:lvl>
    <w:lvl w:ilvl="1" w:tplc="9B8E1192">
      <w:start w:val="1"/>
      <w:numFmt w:val="lowerLetter"/>
      <w:lvlText w:val="%2."/>
      <w:lvlJc w:val="left"/>
      <w:pPr>
        <w:ind w:left="1080" w:hanging="360"/>
      </w:pPr>
    </w:lvl>
    <w:lvl w:ilvl="2" w:tplc="65B2C444" w:tentative="1">
      <w:start w:val="1"/>
      <w:numFmt w:val="lowerRoman"/>
      <w:lvlText w:val="%3."/>
      <w:lvlJc w:val="right"/>
      <w:pPr>
        <w:ind w:left="1800" w:hanging="180"/>
      </w:pPr>
    </w:lvl>
    <w:lvl w:ilvl="3" w:tplc="040CBAD8" w:tentative="1">
      <w:start w:val="1"/>
      <w:numFmt w:val="decimal"/>
      <w:lvlText w:val="%4."/>
      <w:lvlJc w:val="left"/>
      <w:pPr>
        <w:ind w:left="2520" w:hanging="360"/>
      </w:pPr>
    </w:lvl>
    <w:lvl w:ilvl="4" w:tplc="6ECE42A0" w:tentative="1">
      <w:start w:val="1"/>
      <w:numFmt w:val="lowerLetter"/>
      <w:lvlText w:val="%5."/>
      <w:lvlJc w:val="left"/>
      <w:pPr>
        <w:ind w:left="3240" w:hanging="360"/>
      </w:pPr>
    </w:lvl>
    <w:lvl w:ilvl="5" w:tplc="48B49386" w:tentative="1">
      <w:start w:val="1"/>
      <w:numFmt w:val="lowerRoman"/>
      <w:lvlText w:val="%6."/>
      <w:lvlJc w:val="right"/>
      <w:pPr>
        <w:ind w:left="3960" w:hanging="180"/>
      </w:pPr>
    </w:lvl>
    <w:lvl w:ilvl="6" w:tplc="272073B2" w:tentative="1">
      <w:start w:val="1"/>
      <w:numFmt w:val="decimal"/>
      <w:lvlText w:val="%7."/>
      <w:lvlJc w:val="left"/>
      <w:pPr>
        <w:ind w:left="4680" w:hanging="360"/>
      </w:pPr>
    </w:lvl>
    <w:lvl w:ilvl="7" w:tplc="DED2D8F0" w:tentative="1">
      <w:start w:val="1"/>
      <w:numFmt w:val="lowerLetter"/>
      <w:lvlText w:val="%8."/>
      <w:lvlJc w:val="left"/>
      <w:pPr>
        <w:ind w:left="5400" w:hanging="360"/>
      </w:pPr>
    </w:lvl>
    <w:lvl w:ilvl="8" w:tplc="06DEB6AC" w:tentative="1">
      <w:start w:val="1"/>
      <w:numFmt w:val="lowerRoman"/>
      <w:lvlText w:val="%9."/>
      <w:lvlJc w:val="right"/>
      <w:pPr>
        <w:ind w:left="6120" w:hanging="180"/>
      </w:pPr>
    </w:lvl>
  </w:abstractNum>
  <w:abstractNum w:abstractNumId="29" w15:restartNumberingAfterBreak="0">
    <w:nsid w:val="5E181669"/>
    <w:multiLevelType w:val="hybridMultilevel"/>
    <w:tmpl w:val="D55CCD72"/>
    <w:lvl w:ilvl="0" w:tplc="391EA1CC">
      <w:start w:val="1"/>
      <w:numFmt w:val="decimal"/>
      <w:lvlText w:val="%1."/>
      <w:lvlJc w:val="left"/>
      <w:pPr>
        <w:tabs>
          <w:tab w:val="num" w:pos="720"/>
        </w:tabs>
        <w:ind w:left="720" w:hanging="360"/>
      </w:pPr>
    </w:lvl>
    <w:lvl w:ilvl="1" w:tplc="7C844834">
      <w:start w:val="1"/>
      <w:numFmt w:val="upperRoman"/>
      <w:lvlText w:val="%2."/>
      <w:lvlJc w:val="right"/>
      <w:pPr>
        <w:ind w:left="1440" w:hanging="360"/>
      </w:pPr>
    </w:lvl>
    <w:lvl w:ilvl="2" w:tplc="7728ADE6" w:tentative="1">
      <w:start w:val="1"/>
      <w:numFmt w:val="decimal"/>
      <w:lvlText w:val="%3."/>
      <w:lvlJc w:val="left"/>
      <w:pPr>
        <w:tabs>
          <w:tab w:val="num" w:pos="2160"/>
        </w:tabs>
        <w:ind w:left="2160" w:hanging="360"/>
      </w:pPr>
    </w:lvl>
    <w:lvl w:ilvl="3" w:tplc="FA067B0A" w:tentative="1">
      <w:start w:val="1"/>
      <w:numFmt w:val="decimal"/>
      <w:lvlText w:val="%4."/>
      <w:lvlJc w:val="left"/>
      <w:pPr>
        <w:tabs>
          <w:tab w:val="num" w:pos="2880"/>
        </w:tabs>
        <w:ind w:left="2880" w:hanging="360"/>
      </w:pPr>
    </w:lvl>
    <w:lvl w:ilvl="4" w:tplc="C85A9D1E" w:tentative="1">
      <w:start w:val="1"/>
      <w:numFmt w:val="decimal"/>
      <w:lvlText w:val="%5."/>
      <w:lvlJc w:val="left"/>
      <w:pPr>
        <w:tabs>
          <w:tab w:val="num" w:pos="3600"/>
        </w:tabs>
        <w:ind w:left="3600" w:hanging="360"/>
      </w:pPr>
    </w:lvl>
    <w:lvl w:ilvl="5" w:tplc="1A6AABF4" w:tentative="1">
      <w:start w:val="1"/>
      <w:numFmt w:val="decimal"/>
      <w:lvlText w:val="%6."/>
      <w:lvlJc w:val="left"/>
      <w:pPr>
        <w:tabs>
          <w:tab w:val="num" w:pos="4320"/>
        </w:tabs>
        <w:ind w:left="4320" w:hanging="360"/>
      </w:pPr>
    </w:lvl>
    <w:lvl w:ilvl="6" w:tplc="3760D572" w:tentative="1">
      <w:start w:val="1"/>
      <w:numFmt w:val="decimal"/>
      <w:lvlText w:val="%7."/>
      <w:lvlJc w:val="left"/>
      <w:pPr>
        <w:tabs>
          <w:tab w:val="num" w:pos="5040"/>
        </w:tabs>
        <w:ind w:left="5040" w:hanging="360"/>
      </w:pPr>
    </w:lvl>
    <w:lvl w:ilvl="7" w:tplc="F68AB3EA" w:tentative="1">
      <w:start w:val="1"/>
      <w:numFmt w:val="decimal"/>
      <w:lvlText w:val="%8."/>
      <w:lvlJc w:val="left"/>
      <w:pPr>
        <w:tabs>
          <w:tab w:val="num" w:pos="5760"/>
        </w:tabs>
        <w:ind w:left="5760" w:hanging="360"/>
      </w:pPr>
    </w:lvl>
    <w:lvl w:ilvl="8" w:tplc="87A2F9FC" w:tentative="1">
      <w:start w:val="1"/>
      <w:numFmt w:val="decimal"/>
      <w:lvlText w:val="%9."/>
      <w:lvlJc w:val="left"/>
      <w:pPr>
        <w:tabs>
          <w:tab w:val="num" w:pos="6480"/>
        </w:tabs>
        <w:ind w:left="6480" w:hanging="360"/>
      </w:pPr>
    </w:lvl>
  </w:abstractNum>
  <w:abstractNum w:abstractNumId="30" w15:restartNumberingAfterBreak="0">
    <w:nsid w:val="624656AC"/>
    <w:multiLevelType w:val="hybridMultilevel"/>
    <w:tmpl w:val="ADDAFE1C"/>
    <w:lvl w:ilvl="0" w:tplc="B1B06304">
      <w:start w:val="1"/>
      <w:numFmt w:val="upperRoman"/>
      <w:lvlText w:val="%1."/>
      <w:lvlJc w:val="right"/>
      <w:pPr>
        <w:ind w:left="1440" w:hanging="360"/>
      </w:pPr>
      <w:rPr>
        <w:rFonts w:hint="default"/>
      </w:rPr>
    </w:lvl>
    <w:lvl w:ilvl="1" w:tplc="2C2C240A" w:tentative="1">
      <w:start w:val="1"/>
      <w:numFmt w:val="lowerLetter"/>
      <w:lvlText w:val="%2."/>
      <w:lvlJc w:val="left"/>
      <w:pPr>
        <w:ind w:left="1440" w:hanging="360"/>
      </w:pPr>
    </w:lvl>
    <w:lvl w:ilvl="2" w:tplc="1BAE547C" w:tentative="1">
      <w:start w:val="1"/>
      <w:numFmt w:val="lowerRoman"/>
      <w:lvlText w:val="%3."/>
      <w:lvlJc w:val="right"/>
      <w:pPr>
        <w:ind w:left="2160" w:hanging="180"/>
      </w:pPr>
    </w:lvl>
    <w:lvl w:ilvl="3" w:tplc="78E8D9EA" w:tentative="1">
      <w:start w:val="1"/>
      <w:numFmt w:val="decimal"/>
      <w:lvlText w:val="%4."/>
      <w:lvlJc w:val="left"/>
      <w:pPr>
        <w:ind w:left="2880" w:hanging="360"/>
      </w:pPr>
    </w:lvl>
    <w:lvl w:ilvl="4" w:tplc="93AE16B8" w:tentative="1">
      <w:start w:val="1"/>
      <w:numFmt w:val="lowerLetter"/>
      <w:lvlText w:val="%5."/>
      <w:lvlJc w:val="left"/>
      <w:pPr>
        <w:ind w:left="3600" w:hanging="360"/>
      </w:pPr>
    </w:lvl>
    <w:lvl w:ilvl="5" w:tplc="FCBA05E4" w:tentative="1">
      <w:start w:val="1"/>
      <w:numFmt w:val="lowerRoman"/>
      <w:lvlText w:val="%6."/>
      <w:lvlJc w:val="right"/>
      <w:pPr>
        <w:ind w:left="4320" w:hanging="180"/>
      </w:pPr>
    </w:lvl>
    <w:lvl w:ilvl="6" w:tplc="56E03C42" w:tentative="1">
      <w:start w:val="1"/>
      <w:numFmt w:val="decimal"/>
      <w:lvlText w:val="%7."/>
      <w:lvlJc w:val="left"/>
      <w:pPr>
        <w:ind w:left="5040" w:hanging="360"/>
      </w:pPr>
    </w:lvl>
    <w:lvl w:ilvl="7" w:tplc="17D6F1CA" w:tentative="1">
      <w:start w:val="1"/>
      <w:numFmt w:val="lowerLetter"/>
      <w:lvlText w:val="%8."/>
      <w:lvlJc w:val="left"/>
      <w:pPr>
        <w:ind w:left="5760" w:hanging="360"/>
      </w:pPr>
    </w:lvl>
    <w:lvl w:ilvl="8" w:tplc="963AC46A" w:tentative="1">
      <w:start w:val="1"/>
      <w:numFmt w:val="lowerRoman"/>
      <w:lvlText w:val="%9."/>
      <w:lvlJc w:val="right"/>
      <w:pPr>
        <w:ind w:left="6480" w:hanging="180"/>
      </w:pPr>
    </w:lvl>
  </w:abstractNum>
  <w:abstractNum w:abstractNumId="31" w15:restartNumberingAfterBreak="0">
    <w:nsid w:val="634D5B6B"/>
    <w:multiLevelType w:val="hybridMultilevel"/>
    <w:tmpl w:val="53FE9854"/>
    <w:lvl w:ilvl="0" w:tplc="4A66A248">
      <w:start w:val="1"/>
      <w:numFmt w:val="decimal"/>
      <w:lvlText w:val="%1."/>
      <w:lvlJc w:val="left"/>
      <w:pPr>
        <w:tabs>
          <w:tab w:val="num" w:pos="720"/>
        </w:tabs>
        <w:ind w:left="720" w:hanging="360"/>
      </w:pPr>
    </w:lvl>
    <w:lvl w:ilvl="1" w:tplc="38881D2A">
      <w:start w:val="1"/>
      <w:numFmt w:val="upperRoman"/>
      <w:lvlText w:val="%2."/>
      <w:lvlJc w:val="right"/>
      <w:pPr>
        <w:ind w:left="1440" w:hanging="360"/>
      </w:pPr>
      <w:rPr>
        <w:rFonts w:hint="default"/>
        <w:sz w:val="18"/>
        <w:szCs w:val="18"/>
      </w:rPr>
    </w:lvl>
    <w:lvl w:ilvl="2" w:tplc="3A540A20" w:tentative="1">
      <w:start w:val="1"/>
      <w:numFmt w:val="decimal"/>
      <w:lvlText w:val="%3."/>
      <w:lvlJc w:val="left"/>
      <w:pPr>
        <w:tabs>
          <w:tab w:val="num" w:pos="2160"/>
        </w:tabs>
        <w:ind w:left="2160" w:hanging="360"/>
      </w:pPr>
    </w:lvl>
    <w:lvl w:ilvl="3" w:tplc="C23E62D6" w:tentative="1">
      <w:start w:val="1"/>
      <w:numFmt w:val="decimal"/>
      <w:lvlText w:val="%4."/>
      <w:lvlJc w:val="left"/>
      <w:pPr>
        <w:tabs>
          <w:tab w:val="num" w:pos="2880"/>
        </w:tabs>
        <w:ind w:left="2880" w:hanging="360"/>
      </w:pPr>
    </w:lvl>
    <w:lvl w:ilvl="4" w:tplc="1428ACC2" w:tentative="1">
      <w:start w:val="1"/>
      <w:numFmt w:val="decimal"/>
      <w:lvlText w:val="%5."/>
      <w:lvlJc w:val="left"/>
      <w:pPr>
        <w:tabs>
          <w:tab w:val="num" w:pos="3600"/>
        </w:tabs>
        <w:ind w:left="3600" w:hanging="360"/>
      </w:pPr>
    </w:lvl>
    <w:lvl w:ilvl="5" w:tplc="0A0A67CE" w:tentative="1">
      <w:start w:val="1"/>
      <w:numFmt w:val="decimal"/>
      <w:lvlText w:val="%6."/>
      <w:lvlJc w:val="left"/>
      <w:pPr>
        <w:tabs>
          <w:tab w:val="num" w:pos="4320"/>
        </w:tabs>
        <w:ind w:left="4320" w:hanging="360"/>
      </w:pPr>
    </w:lvl>
    <w:lvl w:ilvl="6" w:tplc="D0A2671A" w:tentative="1">
      <w:start w:val="1"/>
      <w:numFmt w:val="decimal"/>
      <w:lvlText w:val="%7."/>
      <w:lvlJc w:val="left"/>
      <w:pPr>
        <w:tabs>
          <w:tab w:val="num" w:pos="5040"/>
        </w:tabs>
        <w:ind w:left="5040" w:hanging="360"/>
      </w:pPr>
    </w:lvl>
    <w:lvl w:ilvl="7" w:tplc="DF1613DE" w:tentative="1">
      <w:start w:val="1"/>
      <w:numFmt w:val="decimal"/>
      <w:lvlText w:val="%8."/>
      <w:lvlJc w:val="left"/>
      <w:pPr>
        <w:tabs>
          <w:tab w:val="num" w:pos="5760"/>
        </w:tabs>
        <w:ind w:left="5760" w:hanging="360"/>
      </w:pPr>
    </w:lvl>
    <w:lvl w:ilvl="8" w:tplc="A0BE12C4" w:tentative="1">
      <w:start w:val="1"/>
      <w:numFmt w:val="decimal"/>
      <w:lvlText w:val="%9."/>
      <w:lvlJc w:val="left"/>
      <w:pPr>
        <w:tabs>
          <w:tab w:val="num" w:pos="6480"/>
        </w:tabs>
        <w:ind w:left="6480" w:hanging="360"/>
      </w:pPr>
    </w:lvl>
  </w:abstractNum>
  <w:abstractNum w:abstractNumId="32" w15:restartNumberingAfterBreak="0">
    <w:nsid w:val="69BC2CA8"/>
    <w:multiLevelType w:val="hybridMultilevel"/>
    <w:tmpl w:val="ADDAFE1C"/>
    <w:lvl w:ilvl="0" w:tplc="2680842A">
      <w:start w:val="1"/>
      <w:numFmt w:val="upperRoman"/>
      <w:lvlText w:val="%1."/>
      <w:lvlJc w:val="right"/>
      <w:pPr>
        <w:ind w:left="1440" w:hanging="360"/>
      </w:pPr>
      <w:rPr>
        <w:rFonts w:hint="default"/>
      </w:rPr>
    </w:lvl>
    <w:lvl w:ilvl="1" w:tplc="B468B0A4" w:tentative="1">
      <w:start w:val="1"/>
      <w:numFmt w:val="lowerLetter"/>
      <w:lvlText w:val="%2."/>
      <w:lvlJc w:val="left"/>
      <w:pPr>
        <w:ind w:left="1440" w:hanging="360"/>
      </w:pPr>
    </w:lvl>
    <w:lvl w:ilvl="2" w:tplc="0158E930" w:tentative="1">
      <w:start w:val="1"/>
      <w:numFmt w:val="lowerRoman"/>
      <w:lvlText w:val="%3."/>
      <w:lvlJc w:val="right"/>
      <w:pPr>
        <w:ind w:left="2160" w:hanging="180"/>
      </w:pPr>
    </w:lvl>
    <w:lvl w:ilvl="3" w:tplc="55703D22" w:tentative="1">
      <w:start w:val="1"/>
      <w:numFmt w:val="decimal"/>
      <w:lvlText w:val="%4."/>
      <w:lvlJc w:val="left"/>
      <w:pPr>
        <w:ind w:left="2880" w:hanging="360"/>
      </w:pPr>
    </w:lvl>
    <w:lvl w:ilvl="4" w:tplc="B486EBEA" w:tentative="1">
      <w:start w:val="1"/>
      <w:numFmt w:val="lowerLetter"/>
      <w:lvlText w:val="%5."/>
      <w:lvlJc w:val="left"/>
      <w:pPr>
        <w:ind w:left="3600" w:hanging="360"/>
      </w:pPr>
    </w:lvl>
    <w:lvl w:ilvl="5" w:tplc="19BCA54E" w:tentative="1">
      <w:start w:val="1"/>
      <w:numFmt w:val="lowerRoman"/>
      <w:lvlText w:val="%6."/>
      <w:lvlJc w:val="right"/>
      <w:pPr>
        <w:ind w:left="4320" w:hanging="180"/>
      </w:pPr>
    </w:lvl>
    <w:lvl w:ilvl="6" w:tplc="223CD936" w:tentative="1">
      <w:start w:val="1"/>
      <w:numFmt w:val="decimal"/>
      <w:lvlText w:val="%7."/>
      <w:lvlJc w:val="left"/>
      <w:pPr>
        <w:ind w:left="5040" w:hanging="360"/>
      </w:pPr>
    </w:lvl>
    <w:lvl w:ilvl="7" w:tplc="65087BEA" w:tentative="1">
      <w:start w:val="1"/>
      <w:numFmt w:val="lowerLetter"/>
      <w:lvlText w:val="%8."/>
      <w:lvlJc w:val="left"/>
      <w:pPr>
        <w:ind w:left="5760" w:hanging="360"/>
      </w:pPr>
    </w:lvl>
    <w:lvl w:ilvl="8" w:tplc="1F50C3D8" w:tentative="1">
      <w:start w:val="1"/>
      <w:numFmt w:val="lowerRoman"/>
      <w:lvlText w:val="%9."/>
      <w:lvlJc w:val="right"/>
      <w:pPr>
        <w:ind w:left="6480" w:hanging="180"/>
      </w:pPr>
    </w:lvl>
  </w:abstractNum>
  <w:abstractNum w:abstractNumId="33" w15:restartNumberingAfterBreak="0">
    <w:nsid w:val="7A7F1EF7"/>
    <w:multiLevelType w:val="multilevel"/>
    <w:tmpl w:val="DECA9C62"/>
    <w:lvl w:ilvl="0">
      <w:start w:val="1"/>
      <w:numFmt w:val="upperRoman"/>
      <w:lvlText w:val="%1."/>
      <w:lvlJc w:val="righ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num w:numId="1">
    <w:abstractNumId w:val="8"/>
  </w:num>
  <w:num w:numId="2">
    <w:abstractNumId w:val="10"/>
  </w:num>
  <w:num w:numId="3">
    <w:abstractNumId w:val="3"/>
  </w:num>
  <w:num w:numId="4">
    <w:abstractNumId w:val="0"/>
  </w:num>
  <w:num w:numId="5">
    <w:abstractNumId w:val="5"/>
  </w:num>
  <w:num w:numId="6">
    <w:abstractNumId w:val="23"/>
  </w:num>
  <w:num w:numId="7">
    <w:abstractNumId w:val="11"/>
  </w:num>
  <w:num w:numId="8">
    <w:abstractNumId w:val="27"/>
  </w:num>
  <w:num w:numId="9">
    <w:abstractNumId w:val="22"/>
  </w:num>
  <w:num w:numId="10">
    <w:abstractNumId w:val="31"/>
  </w:num>
  <w:num w:numId="11">
    <w:abstractNumId w:val="26"/>
  </w:num>
  <w:num w:numId="12">
    <w:abstractNumId w:val="21"/>
  </w:num>
  <w:num w:numId="13">
    <w:abstractNumId w:val="15"/>
  </w:num>
  <w:num w:numId="14">
    <w:abstractNumId w:val="29"/>
  </w:num>
  <w:num w:numId="15">
    <w:abstractNumId w:val="17"/>
  </w:num>
  <w:num w:numId="16">
    <w:abstractNumId w:val="7"/>
  </w:num>
  <w:num w:numId="17">
    <w:abstractNumId w:val="33"/>
  </w:num>
  <w:num w:numId="18">
    <w:abstractNumId w:val="16"/>
  </w:num>
  <w:num w:numId="19">
    <w:abstractNumId w:val="20"/>
  </w:num>
  <w:num w:numId="20">
    <w:abstractNumId w:val="13"/>
  </w:num>
  <w:num w:numId="21">
    <w:abstractNumId w:val="4"/>
  </w:num>
  <w:num w:numId="22">
    <w:abstractNumId w:val="1"/>
  </w:num>
  <w:num w:numId="23">
    <w:abstractNumId w:val="32"/>
  </w:num>
  <w:num w:numId="24">
    <w:abstractNumId w:val="30"/>
  </w:num>
  <w:num w:numId="25">
    <w:abstractNumId w:val="25"/>
  </w:num>
  <w:num w:numId="26">
    <w:abstractNumId w:val="9"/>
  </w:num>
  <w:num w:numId="27">
    <w:abstractNumId w:val="19"/>
  </w:num>
  <w:num w:numId="28">
    <w:abstractNumId w:val="6"/>
  </w:num>
  <w:num w:numId="29">
    <w:abstractNumId w:val="28"/>
  </w:num>
  <w:num w:numId="30">
    <w:abstractNumId w:val="12"/>
  </w:num>
  <w:num w:numId="31">
    <w:abstractNumId w:val="14"/>
  </w:num>
  <w:num w:numId="32">
    <w:abstractNumId w:val="18"/>
  </w:num>
  <w:num w:numId="33">
    <w:abstractNumId w:val="24"/>
  </w:num>
  <w:num w:numId="34">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B0"/>
    <w:rsid w:val="000018EB"/>
    <w:rsid w:val="000023C8"/>
    <w:rsid w:val="0001055A"/>
    <w:rsid w:val="00011312"/>
    <w:rsid w:val="00013F2E"/>
    <w:rsid w:val="00014F2A"/>
    <w:rsid w:val="00015646"/>
    <w:rsid w:val="0001634D"/>
    <w:rsid w:val="00021AEB"/>
    <w:rsid w:val="00022F98"/>
    <w:rsid w:val="00024149"/>
    <w:rsid w:val="00024532"/>
    <w:rsid w:val="00025767"/>
    <w:rsid w:val="0002615E"/>
    <w:rsid w:val="00036210"/>
    <w:rsid w:val="0003647D"/>
    <w:rsid w:val="00036611"/>
    <w:rsid w:val="0003787F"/>
    <w:rsid w:val="000432D1"/>
    <w:rsid w:val="00044B99"/>
    <w:rsid w:val="000608BB"/>
    <w:rsid w:val="00062997"/>
    <w:rsid w:val="00062999"/>
    <w:rsid w:val="00066411"/>
    <w:rsid w:val="0006671A"/>
    <w:rsid w:val="000676D1"/>
    <w:rsid w:val="00072032"/>
    <w:rsid w:val="000722BA"/>
    <w:rsid w:val="00073F71"/>
    <w:rsid w:val="00074D2F"/>
    <w:rsid w:val="00076273"/>
    <w:rsid w:val="00077DD8"/>
    <w:rsid w:val="000806D3"/>
    <w:rsid w:val="0008086B"/>
    <w:rsid w:val="00080C24"/>
    <w:rsid w:val="000838B8"/>
    <w:rsid w:val="00090387"/>
    <w:rsid w:val="000920C8"/>
    <w:rsid w:val="00092F80"/>
    <w:rsid w:val="0009351D"/>
    <w:rsid w:val="000944EF"/>
    <w:rsid w:val="000944FA"/>
    <w:rsid w:val="000945FA"/>
    <w:rsid w:val="00097C2D"/>
    <w:rsid w:val="00097FFE"/>
    <w:rsid w:val="000A1CA7"/>
    <w:rsid w:val="000A24CA"/>
    <w:rsid w:val="000A4F31"/>
    <w:rsid w:val="000A776B"/>
    <w:rsid w:val="000B17F7"/>
    <w:rsid w:val="000B5540"/>
    <w:rsid w:val="000B5DA8"/>
    <w:rsid w:val="000B7804"/>
    <w:rsid w:val="000C03D8"/>
    <w:rsid w:val="000C2784"/>
    <w:rsid w:val="000C28C6"/>
    <w:rsid w:val="000C3F63"/>
    <w:rsid w:val="000C44C3"/>
    <w:rsid w:val="000C497D"/>
    <w:rsid w:val="000C7C7C"/>
    <w:rsid w:val="000C7E42"/>
    <w:rsid w:val="000D0C1F"/>
    <w:rsid w:val="000D6406"/>
    <w:rsid w:val="000D7BD9"/>
    <w:rsid w:val="000D7D30"/>
    <w:rsid w:val="000E0138"/>
    <w:rsid w:val="000E1516"/>
    <w:rsid w:val="000E25E0"/>
    <w:rsid w:val="000E6E62"/>
    <w:rsid w:val="000E703D"/>
    <w:rsid w:val="000E7357"/>
    <w:rsid w:val="000E7A6C"/>
    <w:rsid w:val="000F084F"/>
    <w:rsid w:val="000F0B96"/>
    <w:rsid w:val="000F257E"/>
    <w:rsid w:val="000F4A4F"/>
    <w:rsid w:val="000F4CC7"/>
    <w:rsid w:val="000F4ED1"/>
    <w:rsid w:val="000F53F1"/>
    <w:rsid w:val="000F73E9"/>
    <w:rsid w:val="00100505"/>
    <w:rsid w:val="00101204"/>
    <w:rsid w:val="00101442"/>
    <w:rsid w:val="00112A4B"/>
    <w:rsid w:val="00116D84"/>
    <w:rsid w:val="00121458"/>
    <w:rsid w:val="00125817"/>
    <w:rsid w:val="00125A33"/>
    <w:rsid w:val="00127A16"/>
    <w:rsid w:val="00132EA6"/>
    <w:rsid w:val="00141BE6"/>
    <w:rsid w:val="00142171"/>
    <w:rsid w:val="001426DE"/>
    <w:rsid w:val="001450BF"/>
    <w:rsid w:val="00145746"/>
    <w:rsid w:val="00151E3C"/>
    <w:rsid w:val="00151E4C"/>
    <w:rsid w:val="00153AE5"/>
    <w:rsid w:val="00154465"/>
    <w:rsid w:val="00154967"/>
    <w:rsid w:val="001574F7"/>
    <w:rsid w:val="0016020D"/>
    <w:rsid w:val="00160383"/>
    <w:rsid w:val="0016242B"/>
    <w:rsid w:val="00162E39"/>
    <w:rsid w:val="00164855"/>
    <w:rsid w:val="00164BD4"/>
    <w:rsid w:val="00165071"/>
    <w:rsid w:val="0017234F"/>
    <w:rsid w:val="00173F6D"/>
    <w:rsid w:val="00174577"/>
    <w:rsid w:val="001756D9"/>
    <w:rsid w:val="00180FB6"/>
    <w:rsid w:val="0018217D"/>
    <w:rsid w:val="00183710"/>
    <w:rsid w:val="00183A3D"/>
    <w:rsid w:val="00184B1C"/>
    <w:rsid w:val="001853A9"/>
    <w:rsid w:val="00186BDA"/>
    <w:rsid w:val="00190FAE"/>
    <w:rsid w:val="0019206C"/>
    <w:rsid w:val="00193887"/>
    <w:rsid w:val="00195789"/>
    <w:rsid w:val="001A2038"/>
    <w:rsid w:val="001A7CBB"/>
    <w:rsid w:val="001B0213"/>
    <w:rsid w:val="001B3802"/>
    <w:rsid w:val="001B4BD4"/>
    <w:rsid w:val="001B66F1"/>
    <w:rsid w:val="001B7642"/>
    <w:rsid w:val="001C0B74"/>
    <w:rsid w:val="001C7CCB"/>
    <w:rsid w:val="001D187B"/>
    <w:rsid w:val="001D1A0E"/>
    <w:rsid w:val="001D4389"/>
    <w:rsid w:val="001D6470"/>
    <w:rsid w:val="001D753C"/>
    <w:rsid w:val="001E351A"/>
    <w:rsid w:val="001E5947"/>
    <w:rsid w:val="001E629C"/>
    <w:rsid w:val="001E70C4"/>
    <w:rsid w:val="001E73B2"/>
    <w:rsid w:val="001E7AFF"/>
    <w:rsid w:val="001F0BD7"/>
    <w:rsid w:val="001F45AB"/>
    <w:rsid w:val="001F70D8"/>
    <w:rsid w:val="001F76CD"/>
    <w:rsid w:val="00201BEA"/>
    <w:rsid w:val="002048E0"/>
    <w:rsid w:val="00206EAD"/>
    <w:rsid w:val="00212836"/>
    <w:rsid w:val="00217879"/>
    <w:rsid w:val="00217B81"/>
    <w:rsid w:val="002224E8"/>
    <w:rsid w:val="00223786"/>
    <w:rsid w:val="00223DED"/>
    <w:rsid w:val="00223F97"/>
    <w:rsid w:val="00232361"/>
    <w:rsid w:val="002344B9"/>
    <w:rsid w:val="0024248A"/>
    <w:rsid w:val="0024268E"/>
    <w:rsid w:val="00244A37"/>
    <w:rsid w:val="00245033"/>
    <w:rsid w:val="002451B3"/>
    <w:rsid w:val="002458BE"/>
    <w:rsid w:val="00247607"/>
    <w:rsid w:val="00251C27"/>
    <w:rsid w:val="002536C2"/>
    <w:rsid w:val="002569AA"/>
    <w:rsid w:val="002643B1"/>
    <w:rsid w:val="002667FF"/>
    <w:rsid w:val="00270EDA"/>
    <w:rsid w:val="002727E6"/>
    <w:rsid w:val="00273871"/>
    <w:rsid w:val="0027481C"/>
    <w:rsid w:val="0027637C"/>
    <w:rsid w:val="002774ED"/>
    <w:rsid w:val="00281B14"/>
    <w:rsid w:val="00282975"/>
    <w:rsid w:val="002829B9"/>
    <w:rsid w:val="00282A5A"/>
    <w:rsid w:val="0028414E"/>
    <w:rsid w:val="00290704"/>
    <w:rsid w:val="00292074"/>
    <w:rsid w:val="00294115"/>
    <w:rsid w:val="00294336"/>
    <w:rsid w:val="002958E5"/>
    <w:rsid w:val="00296E50"/>
    <w:rsid w:val="002A23EA"/>
    <w:rsid w:val="002A42C6"/>
    <w:rsid w:val="002A4C45"/>
    <w:rsid w:val="002A574A"/>
    <w:rsid w:val="002A798D"/>
    <w:rsid w:val="002B12D4"/>
    <w:rsid w:val="002C21C1"/>
    <w:rsid w:val="002C2DFE"/>
    <w:rsid w:val="002C3EA7"/>
    <w:rsid w:val="002C6223"/>
    <w:rsid w:val="002C78D4"/>
    <w:rsid w:val="002D200A"/>
    <w:rsid w:val="002D557B"/>
    <w:rsid w:val="002D63FC"/>
    <w:rsid w:val="002D6EB6"/>
    <w:rsid w:val="002E05F5"/>
    <w:rsid w:val="002E413C"/>
    <w:rsid w:val="002E5585"/>
    <w:rsid w:val="002E7C0B"/>
    <w:rsid w:val="002F032F"/>
    <w:rsid w:val="002F15CF"/>
    <w:rsid w:val="002F28D4"/>
    <w:rsid w:val="002F34B6"/>
    <w:rsid w:val="002F6D32"/>
    <w:rsid w:val="002F7469"/>
    <w:rsid w:val="003004C1"/>
    <w:rsid w:val="003009AF"/>
    <w:rsid w:val="00302FA4"/>
    <w:rsid w:val="0030367C"/>
    <w:rsid w:val="0030482B"/>
    <w:rsid w:val="0030543B"/>
    <w:rsid w:val="00310377"/>
    <w:rsid w:val="003109A8"/>
    <w:rsid w:val="00311C1F"/>
    <w:rsid w:val="00320B12"/>
    <w:rsid w:val="00322383"/>
    <w:rsid w:val="00325E64"/>
    <w:rsid w:val="0033224C"/>
    <w:rsid w:val="0033248F"/>
    <w:rsid w:val="0033297E"/>
    <w:rsid w:val="00333DC5"/>
    <w:rsid w:val="00334D08"/>
    <w:rsid w:val="00336CA2"/>
    <w:rsid w:val="0034620F"/>
    <w:rsid w:val="00347C1B"/>
    <w:rsid w:val="0035481C"/>
    <w:rsid w:val="0035599C"/>
    <w:rsid w:val="00357C1B"/>
    <w:rsid w:val="00361C6A"/>
    <w:rsid w:val="00370019"/>
    <w:rsid w:val="003711C7"/>
    <w:rsid w:val="00376760"/>
    <w:rsid w:val="00377F59"/>
    <w:rsid w:val="00380070"/>
    <w:rsid w:val="0038054E"/>
    <w:rsid w:val="003818CF"/>
    <w:rsid w:val="00383667"/>
    <w:rsid w:val="0038780B"/>
    <w:rsid w:val="003901AD"/>
    <w:rsid w:val="0039257E"/>
    <w:rsid w:val="00393394"/>
    <w:rsid w:val="00393FD5"/>
    <w:rsid w:val="00395F12"/>
    <w:rsid w:val="003965D8"/>
    <w:rsid w:val="003974A1"/>
    <w:rsid w:val="003A1135"/>
    <w:rsid w:val="003A13A6"/>
    <w:rsid w:val="003A4CE4"/>
    <w:rsid w:val="003A68A6"/>
    <w:rsid w:val="003A735A"/>
    <w:rsid w:val="003B3DC3"/>
    <w:rsid w:val="003B4435"/>
    <w:rsid w:val="003B7A2A"/>
    <w:rsid w:val="003C2026"/>
    <w:rsid w:val="003C32B5"/>
    <w:rsid w:val="003C395A"/>
    <w:rsid w:val="003C4513"/>
    <w:rsid w:val="003C50B6"/>
    <w:rsid w:val="003C75B5"/>
    <w:rsid w:val="003C7A66"/>
    <w:rsid w:val="003C7EF7"/>
    <w:rsid w:val="003D214C"/>
    <w:rsid w:val="003D223D"/>
    <w:rsid w:val="003D4ECC"/>
    <w:rsid w:val="003D5556"/>
    <w:rsid w:val="003D738C"/>
    <w:rsid w:val="003E09B2"/>
    <w:rsid w:val="003E17DF"/>
    <w:rsid w:val="003E3858"/>
    <w:rsid w:val="003E4B9F"/>
    <w:rsid w:val="003E5B03"/>
    <w:rsid w:val="003F1167"/>
    <w:rsid w:val="003F13D1"/>
    <w:rsid w:val="003F1959"/>
    <w:rsid w:val="003F4C37"/>
    <w:rsid w:val="00400312"/>
    <w:rsid w:val="00403FEB"/>
    <w:rsid w:val="00405F2C"/>
    <w:rsid w:val="00406980"/>
    <w:rsid w:val="00410DF0"/>
    <w:rsid w:val="00412DB2"/>
    <w:rsid w:val="004130FA"/>
    <w:rsid w:val="00415A52"/>
    <w:rsid w:val="00421705"/>
    <w:rsid w:val="004222C5"/>
    <w:rsid w:val="004233E6"/>
    <w:rsid w:val="00425C70"/>
    <w:rsid w:val="00427D67"/>
    <w:rsid w:val="004335FA"/>
    <w:rsid w:val="00433F56"/>
    <w:rsid w:val="00436A52"/>
    <w:rsid w:val="00437764"/>
    <w:rsid w:val="0043780A"/>
    <w:rsid w:val="00440E7B"/>
    <w:rsid w:val="00442C98"/>
    <w:rsid w:val="004433E2"/>
    <w:rsid w:val="00444471"/>
    <w:rsid w:val="00446682"/>
    <w:rsid w:val="0045741F"/>
    <w:rsid w:val="004613CD"/>
    <w:rsid w:val="00462CFC"/>
    <w:rsid w:val="00470875"/>
    <w:rsid w:val="004741F7"/>
    <w:rsid w:val="00475339"/>
    <w:rsid w:val="00484091"/>
    <w:rsid w:val="004870D7"/>
    <w:rsid w:val="00490B49"/>
    <w:rsid w:val="00491EEA"/>
    <w:rsid w:val="004959D1"/>
    <w:rsid w:val="00497052"/>
    <w:rsid w:val="004A04C3"/>
    <w:rsid w:val="004A200E"/>
    <w:rsid w:val="004A3F46"/>
    <w:rsid w:val="004A44D5"/>
    <w:rsid w:val="004A46B3"/>
    <w:rsid w:val="004A5ADC"/>
    <w:rsid w:val="004B0988"/>
    <w:rsid w:val="004B2118"/>
    <w:rsid w:val="004B25C5"/>
    <w:rsid w:val="004B4B8A"/>
    <w:rsid w:val="004B6C6F"/>
    <w:rsid w:val="004C04C7"/>
    <w:rsid w:val="004C2B5D"/>
    <w:rsid w:val="004C2B8D"/>
    <w:rsid w:val="004C4C49"/>
    <w:rsid w:val="004C731B"/>
    <w:rsid w:val="004D09C3"/>
    <w:rsid w:val="004D3DC4"/>
    <w:rsid w:val="004D3DFB"/>
    <w:rsid w:val="004D4170"/>
    <w:rsid w:val="004D4197"/>
    <w:rsid w:val="004D6050"/>
    <w:rsid w:val="004D6B96"/>
    <w:rsid w:val="004D7793"/>
    <w:rsid w:val="004E4787"/>
    <w:rsid w:val="004F42D8"/>
    <w:rsid w:val="004F5D99"/>
    <w:rsid w:val="004F5E39"/>
    <w:rsid w:val="004F701B"/>
    <w:rsid w:val="0050018C"/>
    <w:rsid w:val="00500463"/>
    <w:rsid w:val="00504023"/>
    <w:rsid w:val="0050583A"/>
    <w:rsid w:val="00506C44"/>
    <w:rsid w:val="005102D2"/>
    <w:rsid w:val="005113B0"/>
    <w:rsid w:val="00511923"/>
    <w:rsid w:val="005128FD"/>
    <w:rsid w:val="00512A1C"/>
    <w:rsid w:val="0051552D"/>
    <w:rsid w:val="00515EDB"/>
    <w:rsid w:val="0052035C"/>
    <w:rsid w:val="005209E2"/>
    <w:rsid w:val="00520C54"/>
    <w:rsid w:val="0052265E"/>
    <w:rsid w:val="00524C16"/>
    <w:rsid w:val="00524C2F"/>
    <w:rsid w:val="00525591"/>
    <w:rsid w:val="00526186"/>
    <w:rsid w:val="00527F92"/>
    <w:rsid w:val="005305E4"/>
    <w:rsid w:val="00532A90"/>
    <w:rsid w:val="0054210B"/>
    <w:rsid w:val="005448FD"/>
    <w:rsid w:val="00553693"/>
    <w:rsid w:val="005547E6"/>
    <w:rsid w:val="00556E97"/>
    <w:rsid w:val="005577ED"/>
    <w:rsid w:val="00557A8A"/>
    <w:rsid w:val="00574CED"/>
    <w:rsid w:val="0057571F"/>
    <w:rsid w:val="00575E81"/>
    <w:rsid w:val="00577513"/>
    <w:rsid w:val="00577A8F"/>
    <w:rsid w:val="00580A77"/>
    <w:rsid w:val="00581EC6"/>
    <w:rsid w:val="00583B1E"/>
    <w:rsid w:val="00584866"/>
    <w:rsid w:val="005921DB"/>
    <w:rsid w:val="00592806"/>
    <w:rsid w:val="00594F6E"/>
    <w:rsid w:val="00595024"/>
    <w:rsid w:val="005951C1"/>
    <w:rsid w:val="00597679"/>
    <w:rsid w:val="005A03B1"/>
    <w:rsid w:val="005A133C"/>
    <w:rsid w:val="005A46D7"/>
    <w:rsid w:val="005A532A"/>
    <w:rsid w:val="005B06DA"/>
    <w:rsid w:val="005B24A0"/>
    <w:rsid w:val="005C37C2"/>
    <w:rsid w:val="005C4960"/>
    <w:rsid w:val="005C6528"/>
    <w:rsid w:val="005D05A5"/>
    <w:rsid w:val="005D10C0"/>
    <w:rsid w:val="005D3A65"/>
    <w:rsid w:val="005D7BD8"/>
    <w:rsid w:val="005E106C"/>
    <w:rsid w:val="005E3CBF"/>
    <w:rsid w:val="005E4E57"/>
    <w:rsid w:val="005E7AA4"/>
    <w:rsid w:val="005F249F"/>
    <w:rsid w:val="005F3595"/>
    <w:rsid w:val="005F441E"/>
    <w:rsid w:val="005F6C0C"/>
    <w:rsid w:val="00600A75"/>
    <w:rsid w:val="00604E2E"/>
    <w:rsid w:val="00610422"/>
    <w:rsid w:val="006108DF"/>
    <w:rsid w:val="00612477"/>
    <w:rsid w:val="006133F6"/>
    <w:rsid w:val="006157E8"/>
    <w:rsid w:val="00622001"/>
    <w:rsid w:val="00623193"/>
    <w:rsid w:val="00623726"/>
    <w:rsid w:val="00623CA8"/>
    <w:rsid w:val="006246B6"/>
    <w:rsid w:val="0062793B"/>
    <w:rsid w:val="00630151"/>
    <w:rsid w:val="00632727"/>
    <w:rsid w:val="00634A2A"/>
    <w:rsid w:val="0064049B"/>
    <w:rsid w:val="00642890"/>
    <w:rsid w:val="00642D7A"/>
    <w:rsid w:val="00644D7A"/>
    <w:rsid w:val="00644F82"/>
    <w:rsid w:val="006527D2"/>
    <w:rsid w:val="006552E0"/>
    <w:rsid w:val="00662365"/>
    <w:rsid w:val="00663E5C"/>
    <w:rsid w:val="00665808"/>
    <w:rsid w:val="006676E2"/>
    <w:rsid w:val="00667C5A"/>
    <w:rsid w:val="00670A92"/>
    <w:rsid w:val="00670B40"/>
    <w:rsid w:val="00677323"/>
    <w:rsid w:val="00677CA9"/>
    <w:rsid w:val="00681F31"/>
    <w:rsid w:val="00682C47"/>
    <w:rsid w:val="00687404"/>
    <w:rsid w:val="00690856"/>
    <w:rsid w:val="006942B2"/>
    <w:rsid w:val="00694B7E"/>
    <w:rsid w:val="006A0279"/>
    <w:rsid w:val="006A143A"/>
    <w:rsid w:val="006A1ABE"/>
    <w:rsid w:val="006A337B"/>
    <w:rsid w:val="006A3D34"/>
    <w:rsid w:val="006A4243"/>
    <w:rsid w:val="006A7104"/>
    <w:rsid w:val="006A7401"/>
    <w:rsid w:val="006B222B"/>
    <w:rsid w:val="006B2E27"/>
    <w:rsid w:val="006B37AF"/>
    <w:rsid w:val="006B438A"/>
    <w:rsid w:val="006B5FAD"/>
    <w:rsid w:val="006C0252"/>
    <w:rsid w:val="006C1BF6"/>
    <w:rsid w:val="006C3693"/>
    <w:rsid w:val="006C3725"/>
    <w:rsid w:val="006D301F"/>
    <w:rsid w:val="006D3681"/>
    <w:rsid w:val="006D7727"/>
    <w:rsid w:val="006E3BA2"/>
    <w:rsid w:val="006E4459"/>
    <w:rsid w:val="006E4F8F"/>
    <w:rsid w:val="006F029B"/>
    <w:rsid w:val="006F02BA"/>
    <w:rsid w:val="006F228F"/>
    <w:rsid w:val="006F350F"/>
    <w:rsid w:val="006F41D5"/>
    <w:rsid w:val="006F48EF"/>
    <w:rsid w:val="006F59AD"/>
    <w:rsid w:val="006F7DD9"/>
    <w:rsid w:val="00701D73"/>
    <w:rsid w:val="00701DD2"/>
    <w:rsid w:val="00702FF5"/>
    <w:rsid w:val="00703AE5"/>
    <w:rsid w:val="00707586"/>
    <w:rsid w:val="00710035"/>
    <w:rsid w:val="00714272"/>
    <w:rsid w:val="00714FE2"/>
    <w:rsid w:val="00716EB0"/>
    <w:rsid w:val="00717B84"/>
    <w:rsid w:val="00721A7C"/>
    <w:rsid w:val="00722764"/>
    <w:rsid w:val="007231DF"/>
    <w:rsid w:val="0072324F"/>
    <w:rsid w:val="00723B32"/>
    <w:rsid w:val="00723D9E"/>
    <w:rsid w:val="00724C40"/>
    <w:rsid w:val="00726597"/>
    <w:rsid w:val="0073035F"/>
    <w:rsid w:val="00731D57"/>
    <w:rsid w:val="00733A33"/>
    <w:rsid w:val="00737021"/>
    <w:rsid w:val="007375F1"/>
    <w:rsid w:val="007423F4"/>
    <w:rsid w:val="007431C7"/>
    <w:rsid w:val="00743612"/>
    <w:rsid w:val="00747357"/>
    <w:rsid w:val="007476DB"/>
    <w:rsid w:val="00750B5B"/>
    <w:rsid w:val="0075350F"/>
    <w:rsid w:val="007565C7"/>
    <w:rsid w:val="007600CB"/>
    <w:rsid w:val="007701FB"/>
    <w:rsid w:val="00770574"/>
    <w:rsid w:val="007722F4"/>
    <w:rsid w:val="0077322B"/>
    <w:rsid w:val="007734AD"/>
    <w:rsid w:val="00774059"/>
    <w:rsid w:val="007744A0"/>
    <w:rsid w:val="00774E79"/>
    <w:rsid w:val="00776BED"/>
    <w:rsid w:val="00777A72"/>
    <w:rsid w:val="007808BE"/>
    <w:rsid w:val="00782FA4"/>
    <w:rsid w:val="00783ECB"/>
    <w:rsid w:val="007842BE"/>
    <w:rsid w:val="0078567C"/>
    <w:rsid w:val="0078584F"/>
    <w:rsid w:val="007861E0"/>
    <w:rsid w:val="007968A9"/>
    <w:rsid w:val="0079793E"/>
    <w:rsid w:val="007A064D"/>
    <w:rsid w:val="007A1EF4"/>
    <w:rsid w:val="007A7A0B"/>
    <w:rsid w:val="007B0310"/>
    <w:rsid w:val="007B11D8"/>
    <w:rsid w:val="007B59F8"/>
    <w:rsid w:val="007C007D"/>
    <w:rsid w:val="007C0C11"/>
    <w:rsid w:val="007C380E"/>
    <w:rsid w:val="007C3DFB"/>
    <w:rsid w:val="007C43B1"/>
    <w:rsid w:val="007C43F0"/>
    <w:rsid w:val="007C4471"/>
    <w:rsid w:val="007C779D"/>
    <w:rsid w:val="007C7CE5"/>
    <w:rsid w:val="007D1D1E"/>
    <w:rsid w:val="007D3BBB"/>
    <w:rsid w:val="007D4AEF"/>
    <w:rsid w:val="007E004D"/>
    <w:rsid w:val="007E21AA"/>
    <w:rsid w:val="007E2A3E"/>
    <w:rsid w:val="007E3843"/>
    <w:rsid w:val="007E640F"/>
    <w:rsid w:val="007E68B0"/>
    <w:rsid w:val="007E68F8"/>
    <w:rsid w:val="007E6C5C"/>
    <w:rsid w:val="007F4471"/>
    <w:rsid w:val="007F4804"/>
    <w:rsid w:val="00800E55"/>
    <w:rsid w:val="0080235D"/>
    <w:rsid w:val="00802D4C"/>
    <w:rsid w:val="00803AAD"/>
    <w:rsid w:val="0081719F"/>
    <w:rsid w:val="00817685"/>
    <w:rsid w:val="0082502E"/>
    <w:rsid w:val="00826BD0"/>
    <w:rsid w:val="00831B20"/>
    <w:rsid w:val="00832278"/>
    <w:rsid w:val="008368C7"/>
    <w:rsid w:val="008414C6"/>
    <w:rsid w:val="008424CD"/>
    <w:rsid w:val="0084333A"/>
    <w:rsid w:val="00852C28"/>
    <w:rsid w:val="008541F2"/>
    <w:rsid w:val="00855504"/>
    <w:rsid w:val="00855909"/>
    <w:rsid w:val="00857BCB"/>
    <w:rsid w:val="00857CE0"/>
    <w:rsid w:val="00862955"/>
    <w:rsid w:val="00863DF1"/>
    <w:rsid w:val="00867D68"/>
    <w:rsid w:val="00874213"/>
    <w:rsid w:val="00875E0A"/>
    <w:rsid w:val="00880ADB"/>
    <w:rsid w:val="00887D44"/>
    <w:rsid w:val="00891C15"/>
    <w:rsid w:val="00892382"/>
    <w:rsid w:val="00892978"/>
    <w:rsid w:val="0089322F"/>
    <w:rsid w:val="00895B92"/>
    <w:rsid w:val="008A1CE5"/>
    <w:rsid w:val="008A36D4"/>
    <w:rsid w:val="008A3DF4"/>
    <w:rsid w:val="008A5C1A"/>
    <w:rsid w:val="008B6290"/>
    <w:rsid w:val="008B7D71"/>
    <w:rsid w:val="008C1518"/>
    <w:rsid w:val="008C6EB2"/>
    <w:rsid w:val="008C7666"/>
    <w:rsid w:val="008D5B5E"/>
    <w:rsid w:val="008E26E3"/>
    <w:rsid w:val="008F0605"/>
    <w:rsid w:val="008F2259"/>
    <w:rsid w:val="008F2CCB"/>
    <w:rsid w:val="008F376F"/>
    <w:rsid w:val="008F634C"/>
    <w:rsid w:val="008F7A5C"/>
    <w:rsid w:val="008F7C51"/>
    <w:rsid w:val="0090130D"/>
    <w:rsid w:val="009018CD"/>
    <w:rsid w:val="00901FF4"/>
    <w:rsid w:val="0090212F"/>
    <w:rsid w:val="009025C5"/>
    <w:rsid w:val="009029D1"/>
    <w:rsid w:val="00902EB1"/>
    <w:rsid w:val="009040DB"/>
    <w:rsid w:val="00904617"/>
    <w:rsid w:val="009105BC"/>
    <w:rsid w:val="00913BD9"/>
    <w:rsid w:val="00913D2C"/>
    <w:rsid w:val="009144AE"/>
    <w:rsid w:val="00915DC3"/>
    <w:rsid w:val="00920211"/>
    <w:rsid w:val="00921756"/>
    <w:rsid w:val="00924182"/>
    <w:rsid w:val="009252AB"/>
    <w:rsid w:val="00926F0B"/>
    <w:rsid w:val="00930178"/>
    <w:rsid w:val="0093022B"/>
    <w:rsid w:val="009308CD"/>
    <w:rsid w:val="009328CE"/>
    <w:rsid w:val="00933054"/>
    <w:rsid w:val="00934531"/>
    <w:rsid w:val="009509E0"/>
    <w:rsid w:val="00955425"/>
    <w:rsid w:val="009579AC"/>
    <w:rsid w:val="00961650"/>
    <w:rsid w:val="00962177"/>
    <w:rsid w:val="00962C12"/>
    <w:rsid w:val="0096333A"/>
    <w:rsid w:val="00963356"/>
    <w:rsid w:val="009633A4"/>
    <w:rsid w:val="00963465"/>
    <w:rsid w:val="00965936"/>
    <w:rsid w:val="00972C00"/>
    <w:rsid w:val="009734A7"/>
    <w:rsid w:val="0097506B"/>
    <w:rsid w:val="009757BA"/>
    <w:rsid w:val="00980415"/>
    <w:rsid w:val="00982D29"/>
    <w:rsid w:val="0098340D"/>
    <w:rsid w:val="00987505"/>
    <w:rsid w:val="00987864"/>
    <w:rsid w:val="00987DB9"/>
    <w:rsid w:val="00991F7A"/>
    <w:rsid w:val="00992F57"/>
    <w:rsid w:val="00997079"/>
    <w:rsid w:val="0099724E"/>
    <w:rsid w:val="009A5DE5"/>
    <w:rsid w:val="009A5E5C"/>
    <w:rsid w:val="009A5ED9"/>
    <w:rsid w:val="009A6A71"/>
    <w:rsid w:val="009A708B"/>
    <w:rsid w:val="009B042C"/>
    <w:rsid w:val="009B2404"/>
    <w:rsid w:val="009B310F"/>
    <w:rsid w:val="009B49CB"/>
    <w:rsid w:val="009B4C77"/>
    <w:rsid w:val="009B4DAD"/>
    <w:rsid w:val="009B5253"/>
    <w:rsid w:val="009B5291"/>
    <w:rsid w:val="009B56D6"/>
    <w:rsid w:val="009B69B6"/>
    <w:rsid w:val="009B77E4"/>
    <w:rsid w:val="009C3C59"/>
    <w:rsid w:val="009C7104"/>
    <w:rsid w:val="009C75AD"/>
    <w:rsid w:val="009C790C"/>
    <w:rsid w:val="009D0FB7"/>
    <w:rsid w:val="009D2F4D"/>
    <w:rsid w:val="009D2FDE"/>
    <w:rsid w:val="009E1F33"/>
    <w:rsid w:val="009E2B6B"/>
    <w:rsid w:val="009E2CAF"/>
    <w:rsid w:val="009E3D00"/>
    <w:rsid w:val="009E4DFF"/>
    <w:rsid w:val="009E5F04"/>
    <w:rsid w:val="009E66A4"/>
    <w:rsid w:val="009F2DB8"/>
    <w:rsid w:val="009F523D"/>
    <w:rsid w:val="009F5E99"/>
    <w:rsid w:val="009F77E7"/>
    <w:rsid w:val="00A0291A"/>
    <w:rsid w:val="00A11CF2"/>
    <w:rsid w:val="00A13DF4"/>
    <w:rsid w:val="00A14839"/>
    <w:rsid w:val="00A17CCD"/>
    <w:rsid w:val="00A22A14"/>
    <w:rsid w:val="00A2616D"/>
    <w:rsid w:val="00A26E72"/>
    <w:rsid w:val="00A3152C"/>
    <w:rsid w:val="00A315C2"/>
    <w:rsid w:val="00A317A8"/>
    <w:rsid w:val="00A31BA2"/>
    <w:rsid w:val="00A33C7A"/>
    <w:rsid w:val="00A36649"/>
    <w:rsid w:val="00A43F9D"/>
    <w:rsid w:val="00A5458A"/>
    <w:rsid w:val="00A55CE4"/>
    <w:rsid w:val="00A57BDC"/>
    <w:rsid w:val="00A61C18"/>
    <w:rsid w:val="00A62200"/>
    <w:rsid w:val="00A62639"/>
    <w:rsid w:val="00A62EDB"/>
    <w:rsid w:val="00A633C1"/>
    <w:rsid w:val="00A66274"/>
    <w:rsid w:val="00A67AB2"/>
    <w:rsid w:val="00A70B6D"/>
    <w:rsid w:val="00A71FA4"/>
    <w:rsid w:val="00A7203E"/>
    <w:rsid w:val="00A74B2D"/>
    <w:rsid w:val="00A81C7C"/>
    <w:rsid w:val="00A8443B"/>
    <w:rsid w:val="00A87533"/>
    <w:rsid w:val="00A90C25"/>
    <w:rsid w:val="00A90D68"/>
    <w:rsid w:val="00A92D59"/>
    <w:rsid w:val="00A94720"/>
    <w:rsid w:val="00A95470"/>
    <w:rsid w:val="00A95872"/>
    <w:rsid w:val="00A96F67"/>
    <w:rsid w:val="00AA2286"/>
    <w:rsid w:val="00AA6325"/>
    <w:rsid w:val="00AA6D10"/>
    <w:rsid w:val="00AB03FA"/>
    <w:rsid w:val="00AB1C63"/>
    <w:rsid w:val="00AB25F1"/>
    <w:rsid w:val="00AB3C20"/>
    <w:rsid w:val="00AB3EBB"/>
    <w:rsid w:val="00AB5620"/>
    <w:rsid w:val="00AB64EA"/>
    <w:rsid w:val="00AB7B69"/>
    <w:rsid w:val="00AC04F0"/>
    <w:rsid w:val="00AC0BBF"/>
    <w:rsid w:val="00AC4F56"/>
    <w:rsid w:val="00AC5117"/>
    <w:rsid w:val="00AC6DE8"/>
    <w:rsid w:val="00AC7760"/>
    <w:rsid w:val="00AD1AF8"/>
    <w:rsid w:val="00AD1C2C"/>
    <w:rsid w:val="00AD2AA3"/>
    <w:rsid w:val="00AD2B8E"/>
    <w:rsid w:val="00AD2FAF"/>
    <w:rsid w:val="00AD7E29"/>
    <w:rsid w:val="00AD7ED7"/>
    <w:rsid w:val="00AE4C14"/>
    <w:rsid w:val="00AE4C9E"/>
    <w:rsid w:val="00AF1333"/>
    <w:rsid w:val="00AF2CB2"/>
    <w:rsid w:val="00AF2FC1"/>
    <w:rsid w:val="00AF34D6"/>
    <w:rsid w:val="00AF53C4"/>
    <w:rsid w:val="00AF5923"/>
    <w:rsid w:val="00AF5D67"/>
    <w:rsid w:val="00AF6594"/>
    <w:rsid w:val="00AF6F2C"/>
    <w:rsid w:val="00B02137"/>
    <w:rsid w:val="00B02B3B"/>
    <w:rsid w:val="00B04C0E"/>
    <w:rsid w:val="00B06066"/>
    <w:rsid w:val="00B12957"/>
    <w:rsid w:val="00B17D58"/>
    <w:rsid w:val="00B20566"/>
    <w:rsid w:val="00B218E4"/>
    <w:rsid w:val="00B22319"/>
    <w:rsid w:val="00B22A0F"/>
    <w:rsid w:val="00B22D72"/>
    <w:rsid w:val="00B231A6"/>
    <w:rsid w:val="00B2373A"/>
    <w:rsid w:val="00B23EFD"/>
    <w:rsid w:val="00B324E6"/>
    <w:rsid w:val="00B36CAB"/>
    <w:rsid w:val="00B4496B"/>
    <w:rsid w:val="00B471E6"/>
    <w:rsid w:val="00B525C2"/>
    <w:rsid w:val="00B52927"/>
    <w:rsid w:val="00B54E08"/>
    <w:rsid w:val="00B60C66"/>
    <w:rsid w:val="00B61824"/>
    <w:rsid w:val="00B653F8"/>
    <w:rsid w:val="00B70E93"/>
    <w:rsid w:val="00B71093"/>
    <w:rsid w:val="00B71457"/>
    <w:rsid w:val="00B71FFF"/>
    <w:rsid w:val="00B81E9E"/>
    <w:rsid w:val="00B84A3E"/>
    <w:rsid w:val="00B8570B"/>
    <w:rsid w:val="00B86F9A"/>
    <w:rsid w:val="00B87932"/>
    <w:rsid w:val="00B91C5C"/>
    <w:rsid w:val="00B92707"/>
    <w:rsid w:val="00B952B4"/>
    <w:rsid w:val="00BA17F2"/>
    <w:rsid w:val="00BA4C84"/>
    <w:rsid w:val="00BA57AA"/>
    <w:rsid w:val="00BA7256"/>
    <w:rsid w:val="00BB2D7E"/>
    <w:rsid w:val="00BB52E9"/>
    <w:rsid w:val="00BB7528"/>
    <w:rsid w:val="00BC04B2"/>
    <w:rsid w:val="00BC0AED"/>
    <w:rsid w:val="00BC1581"/>
    <w:rsid w:val="00BC19B0"/>
    <w:rsid w:val="00BC7854"/>
    <w:rsid w:val="00BD1BDD"/>
    <w:rsid w:val="00BD1E42"/>
    <w:rsid w:val="00BE080F"/>
    <w:rsid w:val="00BE0FF2"/>
    <w:rsid w:val="00BE20AB"/>
    <w:rsid w:val="00BF4842"/>
    <w:rsid w:val="00BF73A2"/>
    <w:rsid w:val="00C020F5"/>
    <w:rsid w:val="00C0455B"/>
    <w:rsid w:val="00C05937"/>
    <w:rsid w:val="00C07267"/>
    <w:rsid w:val="00C07AFA"/>
    <w:rsid w:val="00C23226"/>
    <w:rsid w:val="00C334AE"/>
    <w:rsid w:val="00C3453E"/>
    <w:rsid w:val="00C34C1B"/>
    <w:rsid w:val="00C35E83"/>
    <w:rsid w:val="00C4159A"/>
    <w:rsid w:val="00C41BF4"/>
    <w:rsid w:val="00C42603"/>
    <w:rsid w:val="00C437CD"/>
    <w:rsid w:val="00C53581"/>
    <w:rsid w:val="00C55BAB"/>
    <w:rsid w:val="00C55FF9"/>
    <w:rsid w:val="00C70282"/>
    <w:rsid w:val="00C71AEF"/>
    <w:rsid w:val="00C73793"/>
    <w:rsid w:val="00C75E93"/>
    <w:rsid w:val="00C775B5"/>
    <w:rsid w:val="00C77C2C"/>
    <w:rsid w:val="00C80F3E"/>
    <w:rsid w:val="00C828CB"/>
    <w:rsid w:val="00C829D5"/>
    <w:rsid w:val="00C82FD0"/>
    <w:rsid w:val="00C853DF"/>
    <w:rsid w:val="00C91950"/>
    <w:rsid w:val="00C9642B"/>
    <w:rsid w:val="00C96B4A"/>
    <w:rsid w:val="00C96B9A"/>
    <w:rsid w:val="00CA041D"/>
    <w:rsid w:val="00CA078F"/>
    <w:rsid w:val="00CA0A74"/>
    <w:rsid w:val="00CA412C"/>
    <w:rsid w:val="00CA54C6"/>
    <w:rsid w:val="00CB0E79"/>
    <w:rsid w:val="00CB38A8"/>
    <w:rsid w:val="00CB3DF9"/>
    <w:rsid w:val="00CB6D3D"/>
    <w:rsid w:val="00CB6E83"/>
    <w:rsid w:val="00CB78EE"/>
    <w:rsid w:val="00CB7F2B"/>
    <w:rsid w:val="00CC2B69"/>
    <w:rsid w:val="00CC3268"/>
    <w:rsid w:val="00CC70C3"/>
    <w:rsid w:val="00CC72F3"/>
    <w:rsid w:val="00CD0400"/>
    <w:rsid w:val="00CD0F39"/>
    <w:rsid w:val="00CD1AD3"/>
    <w:rsid w:val="00CD446F"/>
    <w:rsid w:val="00CD4D6A"/>
    <w:rsid w:val="00CD6458"/>
    <w:rsid w:val="00CE2CB0"/>
    <w:rsid w:val="00CE7B15"/>
    <w:rsid w:val="00CF06EF"/>
    <w:rsid w:val="00CF4148"/>
    <w:rsid w:val="00D00715"/>
    <w:rsid w:val="00D02356"/>
    <w:rsid w:val="00D15A21"/>
    <w:rsid w:val="00D2245A"/>
    <w:rsid w:val="00D2382E"/>
    <w:rsid w:val="00D238B6"/>
    <w:rsid w:val="00D24038"/>
    <w:rsid w:val="00D24560"/>
    <w:rsid w:val="00D24CFE"/>
    <w:rsid w:val="00D27C6C"/>
    <w:rsid w:val="00D31270"/>
    <w:rsid w:val="00D31D77"/>
    <w:rsid w:val="00D325DA"/>
    <w:rsid w:val="00D32F91"/>
    <w:rsid w:val="00D366BF"/>
    <w:rsid w:val="00D367C9"/>
    <w:rsid w:val="00D37AA4"/>
    <w:rsid w:val="00D42E20"/>
    <w:rsid w:val="00D43135"/>
    <w:rsid w:val="00D44233"/>
    <w:rsid w:val="00D4468A"/>
    <w:rsid w:val="00D45064"/>
    <w:rsid w:val="00D4644C"/>
    <w:rsid w:val="00D466CD"/>
    <w:rsid w:val="00D53501"/>
    <w:rsid w:val="00D60408"/>
    <w:rsid w:val="00D6131D"/>
    <w:rsid w:val="00D627DB"/>
    <w:rsid w:val="00D63E3F"/>
    <w:rsid w:val="00D64790"/>
    <w:rsid w:val="00D70381"/>
    <w:rsid w:val="00D70D34"/>
    <w:rsid w:val="00D82204"/>
    <w:rsid w:val="00D85149"/>
    <w:rsid w:val="00D862F1"/>
    <w:rsid w:val="00D8727D"/>
    <w:rsid w:val="00D9162A"/>
    <w:rsid w:val="00D94B74"/>
    <w:rsid w:val="00D94B9A"/>
    <w:rsid w:val="00D94E7C"/>
    <w:rsid w:val="00D97159"/>
    <w:rsid w:val="00DA0FAD"/>
    <w:rsid w:val="00DA16F8"/>
    <w:rsid w:val="00DA18B3"/>
    <w:rsid w:val="00DA416F"/>
    <w:rsid w:val="00DA4C9D"/>
    <w:rsid w:val="00DB3638"/>
    <w:rsid w:val="00DB43EF"/>
    <w:rsid w:val="00DB6926"/>
    <w:rsid w:val="00DB6AF8"/>
    <w:rsid w:val="00DC0CA2"/>
    <w:rsid w:val="00DC2289"/>
    <w:rsid w:val="00DC3CDD"/>
    <w:rsid w:val="00DC56E2"/>
    <w:rsid w:val="00DC68FC"/>
    <w:rsid w:val="00DD0D84"/>
    <w:rsid w:val="00DD0F5B"/>
    <w:rsid w:val="00DD2347"/>
    <w:rsid w:val="00DD489E"/>
    <w:rsid w:val="00DD505F"/>
    <w:rsid w:val="00DD7731"/>
    <w:rsid w:val="00DE1111"/>
    <w:rsid w:val="00DE2A58"/>
    <w:rsid w:val="00DE3945"/>
    <w:rsid w:val="00DE442D"/>
    <w:rsid w:val="00DE4756"/>
    <w:rsid w:val="00DE7E3A"/>
    <w:rsid w:val="00DF23F9"/>
    <w:rsid w:val="00DF5F11"/>
    <w:rsid w:val="00E01378"/>
    <w:rsid w:val="00E02A37"/>
    <w:rsid w:val="00E03501"/>
    <w:rsid w:val="00E043A3"/>
    <w:rsid w:val="00E04530"/>
    <w:rsid w:val="00E05D5E"/>
    <w:rsid w:val="00E05FFE"/>
    <w:rsid w:val="00E10240"/>
    <w:rsid w:val="00E10B10"/>
    <w:rsid w:val="00E13984"/>
    <w:rsid w:val="00E150AF"/>
    <w:rsid w:val="00E16A44"/>
    <w:rsid w:val="00E17741"/>
    <w:rsid w:val="00E20C6E"/>
    <w:rsid w:val="00E24A3D"/>
    <w:rsid w:val="00E25898"/>
    <w:rsid w:val="00E2627F"/>
    <w:rsid w:val="00E304AE"/>
    <w:rsid w:val="00E3383B"/>
    <w:rsid w:val="00E42B1E"/>
    <w:rsid w:val="00E44365"/>
    <w:rsid w:val="00E46258"/>
    <w:rsid w:val="00E50DE3"/>
    <w:rsid w:val="00E5322E"/>
    <w:rsid w:val="00E54FE0"/>
    <w:rsid w:val="00E55266"/>
    <w:rsid w:val="00E55D31"/>
    <w:rsid w:val="00E61B54"/>
    <w:rsid w:val="00E63001"/>
    <w:rsid w:val="00E71F12"/>
    <w:rsid w:val="00E71FEC"/>
    <w:rsid w:val="00E73B34"/>
    <w:rsid w:val="00E73FCF"/>
    <w:rsid w:val="00E76106"/>
    <w:rsid w:val="00E80445"/>
    <w:rsid w:val="00E818A7"/>
    <w:rsid w:val="00E83891"/>
    <w:rsid w:val="00E8400F"/>
    <w:rsid w:val="00E844F0"/>
    <w:rsid w:val="00E84792"/>
    <w:rsid w:val="00E84B9F"/>
    <w:rsid w:val="00E85652"/>
    <w:rsid w:val="00E91084"/>
    <w:rsid w:val="00E91569"/>
    <w:rsid w:val="00E92B3E"/>
    <w:rsid w:val="00E92D6F"/>
    <w:rsid w:val="00E97260"/>
    <w:rsid w:val="00EA0F0F"/>
    <w:rsid w:val="00EA2099"/>
    <w:rsid w:val="00EA3FD7"/>
    <w:rsid w:val="00EA5C07"/>
    <w:rsid w:val="00EA5F48"/>
    <w:rsid w:val="00EA6101"/>
    <w:rsid w:val="00EB0069"/>
    <w:rsid w:val="00EB0A5F"/>
    <w:rsid w:val="00EB5798"/>
    <w:rsid w:val="00EB5E11"/>
    <w:rsid w:val="00EB627E"/>
    <w:rsid w:val="00EB7A51"/>
    <w:rsid w:val="00EC3402"/>
    <w:rsid w:val="00EC5F4A"/>
    <w:rsid w:val="00EC67F6"/>
    <w:rsid w:val="00ED2A6A"/>
    <w:rsid w:val="00ED384C"/>
    <w:rsid w:val="00EE0E0E"/>
    <w:rsid w:val="00EE52B7"/>
    <w:rsid w:val="00EF0652"/>
    <w:rsid w:val="00EF25FC"/>
    <w:rsid w:val="00EF3736"/>
    <w:rsid w:val="00EF399D"/>
    <w:rsid w:val="00EF3F9A"/>
    <w:rsid w:val="00EF52A3"/>
    <w:rsid w:val="00EF5FA4"/>
    <w:rsid w:val="00EF741D"/>
    <w:rsid w:val="00F00784"/>
    <w:rsid w:val="00F06D33"/>
    <w:rsid w:val="00F07C22"/>
    <w:rsid w:val="00F10317"/>
    <w:rsid w:val="00F124C2"/>
    <w:rsid w:val="00F13508"/>
    <w:rsid w:val="00F148FD"/>
    <w:rsid w:val="00F17A70"/>
    <w:rsid w:val="00F24ADD"/>
    <w:rsid w:val="00F2529E"/>
    <w:rsid w:val="00F338FF"/>
    <w:rsid w:val="00F35908"/>
    <w:rsid w:val="00F43A8C"/>
    <w:rsid w:val="00F43D72"/>
    <w:rsid w:val="00F4487D"/>
    <w:rsid w:val="00F4678F"/>
    <w:rsid w:val="00F47D07"/>
    <w:rsid w:val="00F505E8"/>
    <w:rsid w:val="00F50854"/>
    <w:rsid w:val="00F50C90"/>
    <w:rsid w:val="00F53751"/>
    <w:rsid w:val="00F57624"/>
    <w:rsid w:val="00F606BA"/>
    <w:rsid w:val="00F621A3"/>
    <w:rsid w:val="00F627A9"/>
    <w:rsid w:val="00F62C74"/>
    <w:rsid w:val="00F6342D"/>
    <w:rsid w:val="00F6374C"/>
    <w:rsid w:val="00F65573"/>
    <w:rsid w:val="00F6736C"/>
    <w:rsid w:val="00F67DEF"/>
    <w:rsid w:val="00F71E9C"/>
    <w:rsid w:val="00F76152"/>
    <w:rsid w:val="00F77471"/>
    <w:rsid w:val="00F81200"/>
    <w:rsid w:val="00F83531"/>
    <w:rsid w:val="00F83AE0"/>
    <w:rsid w:val="00F92B5A"/>
    <w:rsid w:val="00F945FD"/>
    <w:rsid w:val="00F95171"/>
    <w:rsid w:val="00FA15FE"/>
    <w:rsid w:val="00FA2408"/>
    <w:rsid w:val="00FA2B34"/>
    <w:rsid w:val="00FA2BE3"/>
    <w:rsid w:val="00FA562A"/>
    <w:rsid w:val="00FA7204"/>
    <w:rsid w:val="00FB3E4E"/>
    <w:rsid w:val="00FB64CA"/>
    <w:rsid w:val="00FB7984"/>
    <w:rsid w:val="00FC1950"/>
    <w:rsid w:val="00FC49F1"/>
    <w:rsid w:val="00FD2191"/>
    <w:rsid w:val="00FD639E"/>
    <w:rsid w:val="00FD7A1F"/>
    <w:rsid w:val="00FE1806"/>
    <w:rsid w:val="00FE1891"/>
    <w:rsid w:val="00FE1FBA"/>
    <w:rsid w:val="00FE4422"/>
    <w:rsid w:val="00FE583F"/>
    <w:rsid w:val="00FE615E"/>
    <w:rsid w:val="00FE7F39"/>
    <w:rsid w:val="00FF0EAD"/>
    <w:rsid w:val="00FF1200"/>
    <w:rsid w:val="00FF17F8"/>
    <w:rsid w:val="00FF4F96"/>
    <w:rsid w:val="00FF54B0"/>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C257C36"/>
  <w14:defaultImageDpi w14:val="32767"/>
  <w15:chartTrackingRefBased/>
  <w15:docId w15:val="{CE2EBCE9-F851-084A-A077-76B1EF1E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115"/>
    <w:rPr>
      <w:rFonts w:ascii="Times New Roman" w:eastAsia="Times New Roman" w:hAnsi="Times New Roman" w:cs="Times New Roman"/>
    </w:rPr>
  </w:style>
  <w:style w:type="paragraph" w:styleId="Heading1">
    <w:name w:val="heading 1"/>
    <w:basedOn w:val="Normal"/>
    <w:next w:val="Normal"/>
    <w:link w:val="Heading1Char"/>
    <w:uiPriority w:val="9"/>
    <w:qFormat/>
    <w:rsid w:val="001544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44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33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B006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4465"/>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References"/>
    <w:basedOn w:val="Normal"/>
    <w:link w:val="ListParagraphChar"/>
    <w:uiPriority w:val="99"/>
    <w:qFormat/>
    <w:rsid w:val="00154465"/>
    <w:pPr>
      <w:ind w:left="720"/>
      <w:contextualSpacing/>
    </w:pPr>
  </w:style>
  <w:style w:type="character" w:customStyle="1" w:styleId="Heading3Char">
    <w:name w:val="Heading 3 Char"/>
    <w:basedOn w:val="DefaultParagraphFont"/>
    <w:link w:val="Heading3"/>
    <w:uiPriority w:val="9"/>
    <w:rsid w:val="0084333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B006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2958E5"/>
    <w:pPr>
      <w:spacing w:before="100" w:beforeAutospacing="1" w:after="100" w:afterAutospacing="1"/>
    </w:p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2958E5"/>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2958E5"/>
    <w:rPr>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2958E5"/>
    <w:rPr>
      <w:vertAlign w:val="superscript"/>
    </w:rPr>
  </w:style>
  <w:style w:type="character" w:styleId="Hyperlink">
    <w:name w:val="Hyperlink"/>
    <w:basedOn w:val="DefaultParagraphFont"/>
    <w:uiPriority w:val="99"/>
    <w:unhideWhenUsed/>
    <w:rsid w:val="009F77E7"/>
    <w:rPr>
      <w:color w:val="0563C1" w:themeColor="hyperlink"/>
      <w:u w:val="single"/>
    </w:rPr>
  </w:style>
  <w:style w:type="character" w:customStyle="1" w:styleId="UnresolvedMention1">
    <w:name w:val="Unresolved Mention1"/>
    <w:basedOn w:val="DefaultParagraphFont"/>
    <w:uiPriority w:val="99"/>
    <w:rsid w:val="009F77E7"/>
    <w:rPr>
      <w:color w:val="808080"/>
      <w:shd w:val="clear" w:color="auto" w:fill="E6E6E6"/>
    </w:rPr>
  </w:style>
  <w:style w:type="character" w:styleId="FollowedHyperlink">
    <w:name w:val="FollowedHyperlink"/>
    <w:basedOn w:val="DefaultParagraphFont"/>
    <w:uiPriority w:val="99"/>
    <w:semiHidden/>
    <w:unhideWhenUsed/>
    <w:rsid w:val="003D738C"/>
    <w:rPr>
      <w:color w:val="954F72" w:themeColor="followedHyperlink"/>
      <w:u w:val="single"/>
    </w:rPr>
  </w:style>
  <w:style w:type="paragraph" w:styleId="Caption">
    <w:name w:val="caption"/>
    <w:basedOn w:val="Normal"/>
    <w:next w:val="Normal"/>
    <w:uiPriority w:val="35"/>
    <w:unhideWhenUsed/>
    <w:qFormat/>
    <w:rsid w:val="00A26E72"/>
    <w:pPr>
      <w:spacing w:after="200"/>
    </w:pPr>
    <w:rPr>
      <w:i/>
      <w:iCs/>
      <w:color w:val="44546A" w:themeColor="text2"/>
      <w:sz w:val="18"/>
      <w:szCs w:val="18"/>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FE1FBA"/>
    <w:pPr>
      <w:spacing w:after="160" w:line="240" w:lineRule="exact"/>
    </w:pPr>
    <w:rPr>
      <w:vertAlign w:val="superscript"/>
    </w:rPr>
  </w:style>
  <w:style w:type="paragraph" w:styleId="Footer">
    <w:name w:val="footer"/>
    <w:basedOn w:val="Normal"/>
    <w:link w:val="FooterChar"/>
    <w:uiPriority w:val="99"/>
    <w:unhideWhenUsed/>
    <w:rsid w:val="004B25C5"/>
    <w:pPr>
      <w:tabs>
        <w:tab w:val="center" w:pos="4680"/>
        <w:tab w:val="right" w:pos="9360"/>
      </w:tabs>
    </w:pPr>
  </w:style>
  <w:style w:type="character" w:customStyle="1" w:styleId="FooterChar">
    <w:name w:val="Footer Char"/>
    <w:basedOn w:val="DefaultParagraphFont"/>
    <w:link w:val="Footer"/>
    <w:uiPriority w:val="99"/>
    <w:rsid w:val="004B25C5"/>
  </w:style>
  <w:style w:type="character" w:styleId="PageNumber">
    <w:name w:val="page number"/>
    <w:basedOn w:val="DefaultParagraphFont"/>
    <w:uiPriority w:val="99"/>
    <w:semiHidden/>
    <w:unhideWhenUsed/>
    <w:rsid w:val="004B25C5"/>
  </w:style>
  <w:style w:type="paragraph" w:styleId="TOC1">
    <w:name w:val="toc 1"/>
    <w:basedOn w:val="Normal"/>
    <w:next w:val="Normal"/>
    <w:autoRedefine/>
    <w:uiPriority w:val="39"/>
    <w:unhideWhenUsed/>
    <w:rsid w:val="00B71093"/>
    <w:pPr>
      <w:spacing w:before="120"/>
    </w:pPr>
    <w:rPr>
      <w:rFonts w:cstheme="minorHAnsi"/>
      <w:b/>
      <w:bCs/>
      <w:i/>
      <w:iCs/>
    </w:rPr>
  </w:style>
  <w:style w:type="paragraph" w:styleId="TOC2">
    <w:name w:val="toc 2"/>
    <w:basedOn w:val="Normal"/>
    <w:next w:val="Normal"/>
    <w:autoRedefine/>
    <w:uiPriority w:val="39"/>
    <w:unhideWhenUsed/>
    <w:rsid w:val="00B71093"/>
    <w:pPr>
      <w:spacing w:before="120"/>
      <w:ind w:left="240"/>
    </w:pPr>
    <w:rPr>
      <w:rFonts w:cstheme="minorHAnsi"/>
      <w:b/>
      <w:bCs/>
      <w:sz w:val="22"/>
      <w:szCs w:val="22"/>
    </w:rPr>
  </w:style>
  <w:style w:type="paragraph" w:styleId="TOC3">
    <w:name w:val="toc 3"/>
    <w:basedOn w:val="Normal"/>
    <w:next w:val="Normal"/>
    <w:autoRedefine/>
    <w:uiPriority w:val="39"/>
    <w:unhideWhenUsed/>
    <w:rsid w:val="00B71093"/>
    <w:pPr>
      <w:ind w:left="480"/>
    </w:pPr>
    <w:rPr>
      <w:rFonts w:cstheme="minorHAnsi"/>
      <w:sz w:val="20"/>
      <w:szCs w:val="20"/>
    </w:rPr>
  </w:style>
  <w:style w:type="paragraph" w:styleId="TOC4">
    <w:name w:val="toc 4"/>
    <w:basedOn w:val="Normal"/>
    <w:next w:val="Normal"/>
    <w:autoRedefine/>
    <w:uiPriority w:val="39"/>
    <w:unhideWhenUsed/>
    <w:rsid w:val="00B71093"/>
    <w:pPr>
      <w:ind w:left="720"/>
    </w:pPr>
    <w:rPr>
      <w:rFonts w:cstheme="minorHAnsi"/>
      <w:sz w:val="20"/>
      <w:szCs w:val="20"/>
    </w:rPr>
  </w:style>
  <w:style w:type="paragraph" w:styleId="TOC5">
    <w:name w:val="toc 5"/>
    <w:basedOn w:val="Normal"/>
    <w:next w:val="Normal"/>
    <w:autoRedefine/>
    <w:uiPriority w:val="39"/>
    <w:unhideWhenUsed/>
    <w:rsid w:val="00B71093"/>
    <w:pPr>
      <w:ind w:left="960"/>
    </w:pPr>
    <w:rPr>
      <w:rFonts w:cstheme="minorHAnsi"/>
      <w:sz w:val="20"/>
      <w:szCs w:val="20"/>
    </w:rPr>
  </w:style>
  <w:style w:type="paragraph" w:styleId="TOC6">
    <w:name w:val="toc 6"/>
    <w:basedOn w:val="Normal"/>
    <w:next w:val="Normal"/>
    <w:autoRedefine/>
    <w:uiPriority w:val="39"/>
    <w:unhideWhenUsed/>
    <w:rsid w:val="00B71093"/>
    <w:pPr>
      <w:ind w:left="1200"/>
    </w:pPr>
    <w:rPr>
      <w:rFonts w:cstheme="minorHAnsi"/>
      <w:sz w:val="20"/>
      <w:szCs w:val="20"/>
    </w:rPr>
  </w:style>
  <w:style w:type="paragraph" w:styleId="TOC7">
    <w:name w:val="toc 7"/>
    <w:basedOn w:val="Normal"/>
    <w:next w:val="Normal"/>
    <w:autoRedefine/>
    <w:uiPriority w:val="39"/>
    <w:unhideWhenUsed/>
    <w:rsid w:val="00B71093"/>
    <w:pPr>
      <w:ind w:left="1440"/>
    </w:pPr>
    <w:rPr>
      <w:rFonts w:cstheme="minorHAnsi"/>
      <w:sz w:val="20"/>
      <w:szCs w:val="20"/>
    </w:rPr>
  </w:style>
  <w:style w:type="paragraph" w:styleId="TOC8">
    <w:name w:val="toc 8"/>
    <w:basedOn w:val="Normal"/>
    <w:next w:val="Normal"/>
    <w:autoRedefine/>
    <w:uiPriority w:val="39"/>
    <w:unhideWhenUsed/>
    <w:rsid w:val="00B71093"/>
    <w:pPr>
      <w:ind w:left="1680"/>
    </w:pPr>
    <w:rPr>
      <w:rFonts w:cstheme="minorHAnsi"/>
      <w:sz w:val="20"/>
      <w:szCs w:val="20"/>
    </w:rPr>
  </w:style>
  <w:style w:type="paragraph" w:styleId="TOC9">
    <w:name w:val="toc 9"/>
    <w:basedOn w:val="Normal"/>
    <w:next w:val="Normal"/>
    <w:autoRedefine/>
    <w:uiPriority w:val="39"/>
    <w:unhideWhenUsed/>
    <w:rsid w:val="00B71093"/>
    <w:pPr>
      <w:ind w:left="1920"/>
    </w:pPr>
    <w:rPr>
      <w:rFonts w:cstheme="minorHAnsi"/>
      <w:sz w:val="20"/>
      <w:szCs w:val="20"/>
    </w:rPr>
  </w:style>
  <w:style w:type="paragraph" w:styleId="Header">
    <w:name w:val="header"/>
    <w:basedOn w:val="Normal"/>
    <w:link w:val="HeaderChar"/>
    <w:uiPriority w:val="99"/>
    <w:unhideWhenUsed/>
    <w:rsid w:val="00B71093"/>
    <w:pPr>
      <w:tabs>
        <w:tab w:val="center" w:pos="4680"/>
        <w:tab w:val="right" w:pos="9360"/>
      </w:tabs>
    </w:pPr>
  </w:style>
  <w:style w:type="character" w:customStyle="1" w:styleId="HeaderChar">
    <w:name w:val="Header Char"/>
    <w:basedOn w:val="DefaultParagraphFont"/>
    <w:link w:val="Header"/>
    <w:uiPriority w:val="99"/>
    <w:rsid w:val="00B71093"/>
  </w:style>
  <w:style w:type="numbering" w:customStyle="1" w:styleId="Style8">
    <w:name w:val="Style8"/>
    <w:uiPriority w:val="99"/>
    <w:rsid w:val="005921DB"/>
    <w:pPr>
      <w:numPr>
        <w:numId w:val="3"/>
      </w:numPr>
    </w:p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References Char"/>
    <w:link w:val="ListParagraph"/>
    <w:uiPriority w:val="99"/>
    <w:locked/>
    <w:rsid w:val="005921DB"/>
  </w:style>
  <w:style w:type="paragraph" w:styleId="TableofFigures">
    <w:name w:val="table of figures"/>
    <w:basedOn w:val="Normal"/>
    <w:next w:val="Normal"/>
    <w:uiPriority w:val="99"/>
    <w:unhideWhenUsed/>
    <w:rsid w:val="00962C12"/>
  </w:style>
  <w:style w:type="paragraph" w:customStyle="1" w:styleId="Default">
    <w:name w:val="Default"/>
    <w:rsid w:val="00B06066"/>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06066"/>
    <w:rPr>
      <w:sz w:val="16"/>
      <w:szCs w:val="16"/>
    </w:rPr>
  </w:style>
  <w:style w:type="paragraph" w:styleId="CommentText">
    <w:name w:val="annotation text"/>
    <w:basedOn w:val="Normal"/>
    <w:link w:val="CommentTextChar"/>
    <w:uiPriority w:val="99"/>
    <w:semiHidden/>
    <w:unhideWhenUsed/>
    <w:rsid w:val="00B06066"/>
    <w:rPr>
      <w:sz w:val="20"/>
      <w:szCs w:val="20"/>
    </w:rPr>
  </w:style>
  <w:style w:type="character" w:customStyle="1" w:styleId="CommentTextChar">
    <w:name w:val="Comment Text Char"/>
    <w:basedOn w:val="DefaultParagraphFont"/>
    <w:link w:val="CommentText"/>
    <w:uiPriority w:val="99"/>
    <w:semiHidden/>
    <w:rsid w:val="00B06066"/>
    <w:rPr>
      <w:sz w:val="20"/>
      <w:szCs w:val="20"/>
    </w:rPr>
  </w:style>
  <w:style w:type="paragraph" w:styleId="BalloonText">
    <w:name w:val="Balloon Text"/>
    <w:basedOn w:val="Normal"/>
    <w:link w:val="BalloonTextChar"/>
    <w:uiPriority w:val="99"/>
    <w:semiHidden/>
    <w:unhideWhenUsed/>
    <w:rsid w:val="00B06066"/>
    <w:rPr>
      <w:sz w:val="18"/>
      <w:szCs w:val="18"/>
    </w:rPr>
  </w:style>
  <w:style w:type="character" w:customStyle="1" w:styleId="BalloonTextChar">
    <w:name w:val="Balloon Text Char"/>
    <w:basedOn w:val="DefaultParagraphFont"/>
    <w:link w:val="BalloonText"/>
    <w:uiPriority w:val="99"/>
    <w:semiHidden/>
    <w:rsid w:val="00B06066"/>
    <w:rPr>
      <w:rFonts w:ascii="Times New Roman" w:hAnsi="Times New Roman" w:cs="Times New Roman"/>
      <w:sz w:val="18"/>
      <w:szCs w:val="18"/>
    </w:rPr>
  </w:style>
  <w:style w:type="paragraph" w:styleId="NoSpacing">
    <w:name w:val="No Spacing"/>
    <w:link w:val="NoSpacingChar"/>
    <w:uiPriority w:val="1"/>
    <w:qFormat/>
    <w:rsid w:val="00AB25F1"/>
    <w:rPr>
      <w:rFonts w:eastAsiaTheme="minorEastAsia"/>
      <w:sz w:val="21"/>
      <w:szCs w:val="21"/>
      <w:lang w:val="ru-RU"/>
    </w:rPr>
  </w:style>
  <w:style w:type="table" w:styleId="TableGrid">
    <w:name w:val="Table Grid"/>
    <w:basedOn w:val="TableNormal"/>
    <w:uiPriority w:val="59"/>
    <w:rsid w:val="006108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3C202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dnoteText">
    <w:name w:val="endnote text"/>
    <w:basedOn w:val="Normal"/>
    <w:link w:val="EndnoteTextChar"/>
    <w:uiPriority w:val="99"/>
    <w:semiHidden/>
    <w:unhideWhenUsed/>
    <w:rsid w:val="00101204"/>
    <w:rPr>
      <w:sz w:val="20"/>
      <w:szCs w:val="20"/>
    </w:rPr>
  </w:style>
  <w:style w:type="character" w:customStyle="1" w:styleId="EndnoteTextChar">
    <w:name w:val="Endnote Text Char"/>
    <w:basedOn w:val="DefaultParagraphFont"/>
    <w:link w:val="EndnoteText"/>
    <w:uiPriority w:val="99"/>
    <w:semiHidden/>
    <w:rsid w:val="0010120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01204"/>
    <w:rPr>
      <w:vertAlign w:val="superscript"/>
    </w:rPr>
  </w:style>
  <w:style w:type="character" w:customStyle="1" w:styleId="apple-style-span">
    <w:name w:val="apple-style-span"/>
    <w:basedOn w:val="DefaultParagraphFont"/>
    <w:uiPriority w:val="99"/>
    <w:rsid w:val="00294336"/>
  </w:style>
  <w:style w:type="paragraph" w:customStyle="1" w:styleId="msonormal0">
    <w:name w:val="msonormal"/>
    <w:basedOn w:val="Normal"/>
    <w:rsid w:val="00E844F0"/>
    <w:pPr>
      <w:spacing w:before="100" w:beforeAutospacing="1" w:after="100" w:afterAutospacing="1"/>
    </w:pPr>
  </w:style>
  <w:style w:type="paragraph" w:customStyle="1" w:styleId="font5">
    <w:name w:val="font5"/>
    <w:basedOn w:val="Normal"/>
    <w:rsid w:val="00E844F0"/>
    <w:pPr>
      <w:spacing w:before="100" w:beforeAutospacing="1" w:after="100" w:afterAutospacing="1"/>
    </w:pPr>
    <w:rPr>
      <w:rFonts w:ascii="Calibri" w:hAnsi="Calibri"/>
      <w:color w:val="FF0000"/>
      <w:sz w:val="22"/>
      <w:szCs w:val="22"/>
    </w:rPr>
  </w:style>
  <w:style w:type="paragraph" w:customStyle="1" w:styleId="font6">
    <w:name w:val="font6"/>
    <w:basedOn w:val="Normal"/>
    <w:rsid w:val="00E844F0"/>
    <w:pPr>
      <w:spacing w:before="100" w:beforeAutospacing="1" w:after="100" w:afterAutospacing="1"/>
    </w:pPr>
    <w:rPr>
      <w:rFonts w:ascii="Tahoma" w:hAnsi="Tahoma"/>
      <w:b/>
      <w:bCs/>
      <w:color w:val="000000"/>
      <w:sz w:val="18"/>
      <w:szCs w:val="18"/>
    </w:rPr>
  </w:style>
  <w:style w:type="paragraph" w:customStyle="1" w:styleId="font7">
    <w:name w:val="font7"/>
    <w:basedOn w:val="Normal"/>
    <w:rsid w:val="00E844F0"/>
    <w:pPr>
      <w:spacing w:before="100" w:beforeAutospacing="1" w:after="100" w:afterAutospacing="1"/>
    </w:pPr>
    <w:rPr>
      <w:rFonts w:ascii="Tahoma" w:hAnsi="Tahoma"/>
      <w:color w:val="000000"/>
      <w:sz w:val="18"/>
      <w:szCs w:val="18"/>
    </w:rPr>
  </w:style>
  <w:style w:type="paragraph" w:customStyle="1" w:styleId="xl65">
    <w:name w:val="xl6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7">
    <w:name w:val="xl6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
    <w:name w:val="xl6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color w:val="FFFFFF"/>
    </w:rPr>
  </w:style>
  <w:style w:type="paragraph" w:customStyle="1" w:styleId="xl69">
    <w:name w:val="xl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color w:val="FFFFFF"/>
    </w:rPr>
  </w:style>
  <w:style w:type="paragraph" w:customStyle="1" w:styleId="xl70">
    <w:name w:val="xl7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1">
    <w:name w:val="xl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2">
    <w:name w:val="xl7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3">
    <w:name w:val="xl7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4">
    <w:name w:val="xl74"/>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Calibri" w:hAnsi="Calibri"/>
      <w:b/>
      <w:bCs/>
      <w:color w:val="FFFFFF"/>
    </w:rPr>
  </w:style>
  <w:style w:type="paragraph" w:customStyle="1" w:styleId="xl75">
    <w:name w:val="xl75"/>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pPr>
    <w:rPr>
      <w:rFonts w:ascii="Calibri" w:hAnsi="Calibri"/>
      <w:b/>
      <w:bCs/>
      <w:color w:val="FFFFFF"/>
    </w:rPr>
  </w:style>
  <w:style w:type="paragraph" w:customStyle="1" w:styleId="xl76">
    <w:name w:val="xl7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7">
    <w:name w:val="xl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78">
    <w:name w:val="xl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79">
    <w:name w:val="xl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0">
    <w:name w:val="xl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81">
    <w:name w:val="xl8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4">
    <w:name w:val="xl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86">
    <w:name w:val="xl8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rPr>
  </w:style>
  <w:style w:type="paragraph" w:customStyle="1" w:styleId="xl87">
    <w:name w:val="xl8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88">
    <w:name w:val="xl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89">
    <w:name w:val="xl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90">
    <w:name w:val="xl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92">
    <w:name w:val="xl9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93">
    <w:name w:val="xl9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rPr>
  </w:style>
  <w:style w:type="paragraph" w:customStyle="1" w:styleId="xl94">
    <w:name w:val="xl9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5">
    <w:name w:val="xl9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98">
    <w:name w:val="xl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99">
    <w:name w:val="xl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b/>
      <w:bCs/>
    </w:rPr>
  </w:style>
  <w:style w:type="paragraph" w:customStyle="1" w:styleId="xl100">
    <w:name w:val="xl1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pPr>
    <w:rPr>
      <w:rFonts w:ascii="Calibri" w:hAnsi="Calibri"/>
      <w:b/>
      <w:bCs/>
      <w:color w:val="FFFFFF"/>
    </w:rPr>
  </w:style>
  <w:style w:type="paragraph" w:customStyle="1" w:styleId="xl101">
    <w:name w:val="xl1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b/>
      <w:bCs/>
    </w:rPr>
  </w:style>
  <w:style w:type="paragraph" w:customStyle="1" w:styleId="xl102">
    <w:name w:val="xl102"/>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rPr>
  </w:style>
  <w:style w:type="paragraph" w:customStyle="1" w:styleId="xl103">
    <w:name w:val="xl103"/>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04">
    <w:name w:val="xl1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style>
  <w:style w:type="paragraph" w:customStyle="1" w:styleId="xl105">
    <w:name w:val="xl1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06">
    <w:name w:val="xl10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Calibri" w:hAnsi="Calibri"/>
    </w:rPr>
  </w:style>
  <w:style w:type="paragraph" w:customStyle="1" w:styleId="xl107">
    <w:name w:val="xl10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08">
    <w:name w:val="xl10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10">
    <w:name w:val="xl11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Calibri" w:hAnsi="Calibri"/>
    </w:rPr>
  </w:style>
  <w:style w:type="paragraph" w:customStyle="1" w:styleId="xl112">
    <w:name w:val="xl11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Calibri" w:hAnsi="Calibri"/>
      <w:b/>
      <w:bCs/>
    </w:rPr>
  </w:style>
  <w:style w:type="paragraph" w:customStyle="1" w:styleId="xl115">
    <w:name w:val="xl115"/>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top"/>
    </w:pPr>
    <w:rPr>
      <w:rFonts w:ascii="Calibri" w:hAnsi="Calibri"/>
      <w:b/>
      <w:bCs/>
    </w:rPr>
  </w:style>
  <w:style w:type="paragraph" w:customStyle="1" w:styleId="xl116">
    <w:name w:val="xl11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Normal"/>
    <w:rsid w:val="00E844F0"/>
    <w:pPr>
      <w:spacing w:before="100" w:beforeAutospacing="1" w:after="100" w:afterAutospacing="1"/>
      <w:jc w:val="center"/>
    </w:pPr>
  </w:style>
  <w:style w:type="paragraph" w:customStyle="1" w:styleId="xl119">
    <w:name w:val="xl11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20">
    <w:name w:val="xl120"/>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FFFFFF"/>
    </w:rPr>
  </w:style>
  <w:style w:type="paragraph" w:customStyle="1" w:styleId="xl121">
    <w:name w:val="xl121"/>
    <w:basedOn w:val="Normal"/>
    <w:rsid w:val="00E844F0"/>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2">
    <w:name w:val="xl12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rFonts w:ascii="Calibri" w:hAnsi="Calibri"/>
      <w:b/>
      <w:bCs/>
    </w:rPr>
  </w:style>
  <w:style w:type="paragraph" w:customStyle="1" w:styleId="xl123">
    <w:name w:val="xl123"/>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24">
    <w:name w:val="xl124"/>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rPr>
      <w:b/>
      <w:bCs/>
    </w:rPr>
  </w:style>
  <w:style w:type="paragraph" w:customStyle="1" w:styleId="xl125">
    <w:name w:val="xl12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b/>
      <w:bCs/>
    </w:rPr>
  </w:style>
  <w:style w:type="paragraph" w:customStyle="1" w:styleId="xl126">
    <w:name w:val="xl12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27">
    <w:name w:val="xl12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8">
    <w:name w:val="xl128"/>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rPr>
  </w:style>
  <w:style w:type="paragraph" w:customStyle="1" w:styleId="xl129">
    <w:name w:val="xl12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130">
    <w:name w:val="xl13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1">
    <w:name w:val="xl13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132">
    <w:name w:val="xl13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b/>
      <w:bCs/>
    </w:rPr>
  </w:style>
  <w:style w:type="paragraph" w:customStyle="1" w:styleId="xl133">
    <w:name w:val="xl13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4">
    <w:name w:val="xl13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5">
    <w:name w:val="xl135"/>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pPr>
    <w:rPr>
      <w:b/>
      <w:bCs/>
      <w:color w:val="FFFFFF"/>
    </w:rPr>
  </w:style>
  <w:style w:type="paragraph" w:customStyle="1" w:styleId="xl136">
    <w:name w:val="xl136"/>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37">
    <w:name w:val="xl13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38">
    <w:name w:val="xl138"/>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style>
  <w:style w:type="paragraph" w:customStyle="1" w:styleId="xl139">
    <w:name w:val="xl139"/>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rPr>
  </w:style>
  <w:style w:type="paragraph" w:customStyle="1" w:styleId="xl140">
    <w:name w:val="xl140"/>
    <w:basedOn w:val="Normal"/>
    <w:rsid w:val="00E844F0"/>
    <w:pPr>
      <w:spacing w:before="100" w:beforeAutospacing="1" w:after="100" w:afterAutospacing="1"/>
    </w:pPr>
  </w:style>
  <w:style w:type="paragraph" w:customStyle="1" w:styleId="xl141">
    <w:name w:val="xl14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2">
    <w:name w:val="xl14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3">
    <w:name w:val="xl14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rPr>
  </w:style>
  <w:style w:type="paragraph" w:customStyle="1" w:styleId="xl144">
    <w:name w:val="xl14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Calibri" w:hAnsi="Calibri"/>
      <w:b/>
      <w:bCs/>
    </w:rPr>
  </w:style>
  <w:style w:type="paragraph" w:customStyle="1" w:styleId="xl146">
    <w:name w:val="xl14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147">
    <w:name w:val="xl147"/>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Calibri" w:hAnsi="Calibri"/>
    </w:rPr>
  </w:style>
  <w:style w:type="paragraph" w:customStyle="1" w:styleId="xl148">
    <w:name w:val="xl14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Calibri" w:hAnsi="Calibri"/>
      <w:b/>
      <w:bCs/>
    </w:rPr>
  </w:style>
  <w:style w:type="paragraph" w:customStyle="1" w:styleId="xl149">
    <w:name w:val="xl149"/>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pPr>
  </w:style>
  <w:style w:type="paragraph" w:customStyle="1" w:styleId="xl150">
    <w:name w:val="xl150"/>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1">
    <w:name w:val="xl151"/>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152">
    <w:name w:val="xl15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top"/>
    </w:pPr>
    <w:rPr>
      <w:b/>
      <w:bCs/>
    </w:rPr>
  </w:style>
  <w:style w:type="paragraph" w:customStyle="1" w:styleId="xl153">
    <w:name w:val="xl15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5">
    <w:name w:val="xl15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6">
    <w:name w:val="xl156"/>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57">
    <w:name w:val="xl15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8">
    <w:name w:val="xl15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59">
    <w:name w:val="xl15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160">
    <w:name w:val="xl16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style>
  <w:style w:type="paragraph" w:customStyle="1" w:styleId="xl161">
    <w:name w:val="xl161"/>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2">
    <w:name w:val="xl162"/>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63">
    <w:name w:val="xl16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4">
    <w:name w:val="xl16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rPr>
  </w:style>
  <w:style w:type="paragraph" w:customStyle="1" w:styleId="xl165">
    <w:name w:val="xl165"/>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Calibri" w:hAnsi="Calibri"/>
      <w:b/>
      <w:bCs/>
    </w:rPr>
  </w:style>
  <w:style w:type="paragraph" w:customStyle="1" w:styleId="xl166">
    <w:name w:val="xl166"/>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style>
  <w:style w:type="paragraph" w:customStyle="1" w:styleId="xl167">
    <w:name w:val="xl16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8">
    <w:name w:val="xl168"/>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Calibri" w:hAnsi="Calibri"/>
      <w:b/>
      <w:bCs/>
    </w:rPr>
  </w:style>
  <w:style w:type="paragraph" w:customStyle="1" w:styleId="xl169">
    <w:name w:val="xl16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rFonts w:ascii="Calibri" w:hAnsi="Calibri"/>
      <w:b/>
      <w:bCs/>
    </w:rPr>
  </w:style>
  <w:style w:type="paragraph" w:customStyle="1" w:styleId="xl170">
    <w:name w:val="xl170"/>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Calibri" w:hAnsi="Calibri"/>
      <w:b/>
      <w:bCs/>
    </w:rPr>
  </w:style>
  <w:style w:type="paragraph" w:customStyle="1" w:styleId="xl173">
    <w:name w:val="xl17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74">
    <w:name w:val="xl174"/>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5">
    <w:name w:val="xl17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
    <w:name w:val="xl176"/>
    <w:basedOn w:val="Normal"/>
    <w:rsid w:val="00E844F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color w:val="FFFFFF"/>
    </w:rPr>
  </w:style>
  <w:style w:type="paragraph" w:customStyle="1" w:styleId="xl177">
    <w:name w:val="xl17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1">
    <w:name w:val="xl18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E844F0"/>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ascii="Calibri" w:hAnsi="Calibri"/>
      <w:b/>
      <w:bCs/>
      <w:color w:val="FFFFFF"/>
    </w:rPr>
  </w:style>
  <w:style w:type="paragraph" w:customStyle="1" w:styleId="xl183">
    <w:name w:val="xl183"/>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Normal"/>
    <w:rsid w:val="00E844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89">
    <w:name w:val="xl18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190">
    <w:name w:val="xl190"/>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2">
    <w:name w:val="xl19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3">
    <w:name w:val="xl193"/>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4">
    <w:name w:val="xl194"/>
    <w:basedOn w:val="Normal"/>
    <w:rsid w:val="00E844F0"/>
    <w:pPr>
      <w:spacing w:before="100" w:beforeAutospacing="1" w:after="100" w:afterAutospacing="1"/>
      <w:jc w:val="center"/>
      <w:textAlignment w:val="center"/>
    </w:pPr>
    <w:rPr>
      <w:rFonts w:ascii="Calibri" w:hAnsi="Calibri"/>
    </w:rPr>
  </w:style>
  <w:style w:type="paragraph" w:customStyle="1" w:styleId="xl195">
    <w:name w:val="xl195"/>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196">
    <w:name w:val="xl196"/>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8">
    <w:name w:val="xl198"/>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199">
    <w:name w:val="xl199"/>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0">
    <w:name w:val="xl200"/>
    <w:basedOn w:val="Normal"/>
    <w:rsid w:val="00E844F0"/>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textAlignment w:val="center"/>
    </w:pPr>
    <w:rPr>
      <w:rFonts w:ascii="Calibri" w:hAnsi="Calibri"/>
      <w:b/>
      <w:bCs/>
      <w:color w:val="FFFFFF"/>
    </w:rPr>
  </w:style>
  <w:style w:type="paragraph" w:customStyle="1" w:styleId="xl201">
    <w:name w:val="xl201"/>
    <w:basedOn w:val="Normal"/>
    <w:rsid w:val="00E844F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Calibri" w:hAnsi="Calibri"/>
    </w:rPr>
  </w:style>
  <w:style w:type="paragraph" w:customStyle="1" w:styleId="xl202">
    <w:name w:val="xl202"/>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04">
    <w:name w:val="xl204"/>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style>
  <w:style w:type="paragraph" w:customStyle="1" w:styleId="xl205">
    <w:name w:val="xl205"/>
    <w:basedOn w:val="Normal"/>
    <w:rsid w:val="00E844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rPr>
  </w:style>
  <w:style w:type="paragraph" w:customStyle="1" w:styleId="xl206">
    <w:name w:val="xl20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E844F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Calibri" w:hAnsi="Calibri"/>
      <w:b/>
      <w:bCs/>
    </w:rPr>
  </w:style>
  <w:style w:type="paragraph" w:customStyle="1" w:styleId="xl208">
    <w:name w:val="xl208"/>
    <w:basedOn w:val="Normal"/>
    <w:rsid w:val="00E844F0"/>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style>
  <w:style w:type="paragraph" w:customStyle="1" w:styleId="xl209">
    <w:name w:val="xl209"/>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0">
    <w:name w:val="xl210"/>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11">
    <w:name w:val="xl21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Normal"/>
    <w:rsid w:val="00E844F0"/>
    <w:pPr>
      <w:spacing w:before="100" w:beforeAutospacing="1" w:after="100" w:afterAutospacing="1"/>
      <w:jc w:val="center"/>
      <w:textAlignment w:val="center"/>
    </w:pPr>
  </w:style>
  <w:style w:type="paragraph" w:customStyle="1" w:styleId="xl213">
    <w:name w:val="xl213"/>
    <w:basedOn w:val="Normal"/>
    <w:rsid w:val="00E844F0"/>
    <w:pPr>
      <w:pBdr>
        <w:top w:val="single" w:sz="4" w:space="0" w:color="auto"/>
      </w:pBdr>
      <w:shd w:val="clear" w:color="000000" w:fill="DDEBF7"/>
      <w:spacing w:before="100" w:beforeAutospacing="1" w:after="100" w:afterAutospacing="1"/>
      <w:jc w:val="center"/>
    </w:pPr>
  </w:style>
  <w:style w:type="paragraph" w:customStyle="1" w:styleId="xl214">
    <w:name w:val="xl214"/>
    <w:basedOn w:val="Normal"/>
    <w:rsid w:val="00E844F0"/>
    <w:pPr>
      <w:pBdr>
        <w:top w:val="single" w:sz="4" w:space="0" w:color="auto"/>
      </w:pBdr>
      <w:shd w:val="clear" w:color="000000" w:fill="DDEBF7"/>
      <w:spacing w:before="100" w:beforeAutospacing="1" w:after="100" w:afterAutospacing="1"/>
    </w:pPr>
  </w:style>
  <w:style w:type="paragraph" w:customStyle="1" w:styleId="xl215">
    <w:name w:val="xl215"/>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6">
    <w:name w:val="xl216"/>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7">
    <w:name w:val="xl217"/>
    <w:basedOn w:val="Normal"/>
    <w:rsid w:val="00E844F0"/>
    <w:pPr>
      <w:pBdr>
        <w:top w:val="single" w:sz="4" w:space="0" w:color="auto"/>
      </w:pBdr>
      <w:shd w:val="clear" w:color="000000" w:fill="DDEBF7"/>
      <w:spacing w:before="100" w:beforeAutospacing="1" w:after="100" w:afterAutospacing="1"/>
      <w:jc w:val="center"/>
      <w:textAlignment w:val="center"/>
    </w:pPr>
  </w:style>
  <w:style w:type="paragraph" w:customStyle="1" w:styleId="xl218">
    <w:name w:val="xl218"/>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9">
    <w:name w:val="xl219"/>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rPr>
  </w:style>
  <w:style w:type="paragraph" w:customStyle="1" w:styleId="xl220">
    <w:name w:val="xl220"/>
    <w:basedOn w:val="Normal"/>
    <w:rsid w:val="00E844F0"/>
    <w:pPr>
      <w:pBdr>
        <w:top w:val="single" w:sz="4" w:space="0" w:color="auto"/>
      </w:pBdr>
      <w:shd w:val="clear" w:color="000000" w:fill="DDEBF7"/>
      <w:spacing w:before="100" w:beforeAutospacing="1" w:after="100" w:afterAutospacing="1"/>
    </w:pPr>
    <w:rPr>
      <w:b/>
      <w:bCs/>
    </w:rPr>
  </w:style>
  <w:style w:type="paragraph" w:customStyle="1" w:styleId="xl221">
    <w:name w:val="xl221"/>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2">
    <w:name w:val="xl222"/>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3">
    <w:name w:val="xl223"/>
    <w:basedOn w:val="Normal"/>
    <w:rsid w:val="00E84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224">
    <w:name w:val="xl224"/>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rPr>
  </w:style>
  <w:style w:type="paragraph" w:customStyle="1" w:styleId="xl225">
    <w:name w:val="xl225"/>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Normal"/>
    <w:rsid w:val="00E84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227">
    <w:name w:val="xl227"/>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8">
    <w:name w:val="xl228"/>
    <w:basedOn w:val="Normal"/>
    <w:rsid w:val="00E844F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style>
  <w:style w:type="paragraph" w:customStyle="1" w:styleId="xl229">
    <w:name w:val="xl229"/>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1">
    <w:name w:val="xl231"/>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2">
    <w:name w:val="xl232"/>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3">
    <w:name w:val="xl233"/>
    <w:basedOn w:val="Normal"/>
    <w:rsid w:val="00E844F0"/>
    <w:pPr>
      <w:pBdr>
        <w:top w:val="single" w:sz="4" w:space="0" w:color="auto"/>
      </w:pBdr>
      <w:shd w:val="clear" w:color="000000" w:fill="5B9BD5"/>
      <w:spacing w:before="100" w:beforeAutospacing="1" w:after="100" w:afterAutospacing="1"/>
      <w:jc w:val="center"/>
    </w:pPr>
    <w:rPr>
      <w:color w:val="FF0000"/>
    </w:rPr>
  </w:style>
  <w:style w:type="paragraph" w:customStyle="1" w:styleId="xl234">
    <w:name w:val="xl23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5">
    <w:name w:val="xl235"/>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6">
    <w:name w:val="xl236"/>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7">
    <w:name w:val="xl237"/>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8">
    <w:name w:val="xl238"/>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39">
    <w:name w:val="xl239"/>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0">
    <w:name w:val="xl24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1">
    <w:name w:val="xl24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rPr>
  </w:style>
  <w:style w:type="paragraph" w:customStyle="1" w:styleId="xl242">
    <w:name w:val="xl24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43">
    <w:name w:val="xl243"/>
    <w:basedOn w:val="Normal"/>
    <w:rsid w:val="00E844F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44">
    <w:name w:val="xl244"/>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5">
    <w:name w:val="xl245"/>
    <w:basedOn w:val="Normal"/>
    <w:rsid w:val="00E844F0"/>
    <w:pPr>
      <w:pBdr>
        <w:left w:val="single" w:sz="4" w:space="0" w:color="auto"/>
        <w:right w:val="single" w:sz="4" w:space="0" w:color="auto"/>
      </w:pBdr>
      <w:shd w:val="clear" w:color="000000" w:fill="FFFFFF"/>
      <w:spacing w:before="100" w:beforeAutospacing="1" w:after="100" w:afterAutospacing="1"/>
    </w:pPr>
  </w:style>
  <w:style w:type="paragraph" w:customStyle="1" w:styleId="xl246">
    <w:name w:val="xl246"/>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7">
    <w:name w:val="xl247"/>
    <w:basedOn w:val="Normal"/>
    <w:rsid w:val="00E844F0"/>
    <w:pPr>
      <w:pBdr>
        <w:left w:val="single" w:sz="4" w:space="0" w:color="auto"/>
        <w:right w:val="single" w:sz="4" w:space="0" w:color="auto"/>
      </w:pBdr>
      <w:spacing w:before="100" w:beforeAutospacing="1" w:after="100" w:afterAutospacing="1"/>
      <w:jc w:val="center"/>
      <w:textAlignment w:val="top"/>
    </w:pPr>
  </w:style>
  <w:style w:type="paragraph" w:customStyle="1" w:styleId="xl248">
    <w:name w:val="xl248"/>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49">
    <w:name w:val="xl249"/>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51">
    <w:name w:val="xl251"/>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2">
    <w:name w:val="xl252"/>
    <w:basedOn w:val="Normal"/>
    <w:rsid w:val="00E844F0"/>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53">
    <w:name w:val="xl253"/>
    <w:basedOn w:val="Normal"/>
    <w:rsid w:val="00E844F0"/>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4">
    <w:name w:val="xl254"/>
    <w:basedOn w:val="Normal"/>
    <w:rsid w:val="00E844F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
    <w:rsid w:val="00E844F0"/>
    <w:pPr>
      <w:pBdr>
        <w:left w:val="single" w:sz="4" w:space="0" w:color="auto"/>
        <w:right w:val="single" w:sz="4" w:space="0" w:color="auto"/>
      </w:pBdr>
      <w:spacing w:before="100" w:beforeAutospacing="1" w:after="100" w:afterAutospacing="1"/>
      <w:jc w:val="center"/>
      <w:textAlignment w:val="center"/>
    </w:pPr>
  </w:style>
  <w:style w:type="paragraph" w:customStyle="1" w:styleId="xl256">
    <w:name w:val="xl256"/>
    <w:basedOn w:val="Normal"/>
    <w:rsid w:val="00E844F0"/>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NoSpacingChar">
    <w:name w:val="No Spacing Char"/>
    <w:basedOn w:val="DefaultParagraphFont"/>
    <w:link w:val="NoSpacing"/>
    <w:uiPriority w:val="1"/>
    <w:rsid w:val="00802D4C"/>
    <w:rPr>
      <w:rFonts w:eastAsiaTheme="minorEastAsia"/>
      <w:sz w:val="21"/>
      <w:szCs w:val="21"/>
      <w:lang w:val="ru-RU"/>
    </w:rPr>
  </w:style>
  <w:style w:type="paragraph" w:customStyle="1" w:styleId="font8">
    <w:name w:val="font8"/>
    <w:basedOn w:val="Normal"/>
    <w:rsid w:val="00CC2B69"/>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CC2B69"/>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CC2B69"/>
    <w:pPr>
      <w:spacing w:before="100" w:beforeAutospacing="1" w:after="100" w:afterAutospacing="1"/>
    </w:pPr>
    <w:rPr>
      <w:rFonts w:ascii="Tahoma" w:hAnsi="Tahoma" w:cs="Tahoma"/>
      <w:color w:val="000000"/>
      <w:sz w:val="18"/>
      <w:szCs w:val="18"/>
    </w:rPr>
  </w:style>
  <w:style w:type="paragraph" w:customStyle="1" w:styleId="xl63">
    <w:name w:val="xl63"/>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4">
    <w:name w:val="xl64"/>
    <w:basedOn w:val="Normal"/>
    <w:rsid w:val="00C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57">
    <w:name w:val="xl257"/>
    <w:basedOn w:val="Normal"/>
    <w:rsid w:val="00CC2B69"/>
    <w:pPr>
      <w:pBdr>
        <w:top w:val="single" w:sz="4" w:space="0" w:color="auto"/>
        <w:bottom w:val="single" w:sz="4" w:space="0" w:color="auto"/>
        <w:right w:val="single" w:sz="4" w:space="0" w:color="auto"/>
      </w:pBdr>
      <w:shd w:val="clear" w:color="000000" w:fill="5B9BD5"/>
      <w:spacing w:before="100" w:beforeAutospacing="1" w:after="100" w:afterAutospacing="1"/>
      <w:jc w:val="center"/>
    </w:pPr>
  </w:style>
  <w:style w:type="paragraph" w:customStyle="1" w:styleId="xl258">
    <w:name w:val="xl258"/>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59">
    <w:name w:val="xl25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0">
    <w:name w:val="xl260"/>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1">
    <w:name w:val="xl261"/>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63">
    <w:name w:val="xl263"/>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4">
    <w:name w:val="xl264"/>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5">
    <w:name w:val="xl265"/>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rPr>
  </w:style>
  <w:style w:type="paragraph" w:customStyle="1" w:styleId="xl266">
    <w:name w:val="xl266"/>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7">
    <w:name w:val="xl26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8">
    <w:name w:val="xl268"/>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9">
    <w:name w:val="xl269"/>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0">
    <w:name w:val="xl270"/>
    <w:basedOn w:val="Normal"/>
    <w:rsid w:val="00CC2B69"/>
    <w:pPr>
      <w:pBdr>
        <w:left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2">
    <w:name w:val="xl272"/>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73">
    <w:name w:val="xl273"/>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4">
    <w:name w:val="xl274"/>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5">
    <w:name w:val="xl275"/>
    <w:basedOn w:val="Normal"/>
    <w:rsid w:val="00CC2B6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
    <w:rsid w:val="00CC2B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78">
    <w:name w:val="xl278"/>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9">
    <w:name w:val="xl279"/>
    <w:basedOn w:val="Normal"/>
    <w:rsid w:val="00CC2B6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0">
    <w:name w:val="xl280"/>
    <w:basedOn w:val="Normal"/>
    <w:rsid w:val="00CC2B6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1">
    <w:name w:val="xl281"/>
    <w:basedOn w:val="Normal"/>
    <w:rsid w:val="00CC2B6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82">
    <w:name w:val="xl282"/>
    <w:basedOn w:val="Normal"/>
    <w:rsid w:val="00CC2B6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3">
    <w:name w:val="xl283"/>
    <w:basedOn w:val="Normal"/>
    <w:rsid w:val="00CC2B69"/>
    <w:pPr>
      <w:pBdr>
        <w:left w:val="single" w:sz="4" w:space="0" w:color="auto"/>
        <w:right w:val="single" w:sz="4" w:space="0" w:color="auto"/>
      </w:pBdr>
      <w:shd w:val="clear" w:color="000000" w:fill="FFFFFF"/>
      <w:spacing w:before="100" w:beforeAutospacing="1" w:after="100" w:afterAutospacing="1"/>
      <w:textAlignment w:val="top"/>
    </w:pPr>
  </w:style>
  <w:style w:type="paragraph" w:styleId="CommentSubject">
    <w:name w:val="annotation subject"/>
    <w:basedOn w:val="CommentText"/>
    <w:next w:val="CommentText"/>
    <w:link w:val="CommentSubjectChar"/>
    <w:uiPriority w:val="99"/>
    <w:semiHidden/>
    <w:unhideWhenUsed/>
    <w:rsid w:val="00662365"/>
    <w:rPr>
      <w:b/>
      <w:bCs/>
    </w:rPr>
  </w:style>
  <w:style w:type="character" w:customStyle="1" w:styleId="CommentSubjectChar">
    <w:name w:val="Comment Subject Char"/>
    <w:basedOn w:val="CommentTextChar"/>
    <w:link w:val="CommentSubject"/>
    <w:uiPriority w:val="99"/>
    <w:semiHidden/>
    <w:rsid w:val="00662365"/>
    <w:rPr>
      <w:rFonts w:ascii="Times New Roman" w:eastAsia="Times New Roman" w:hAnsi="Times New Roman" w:cs="Times New Roman"/>
      <w:b/>
      <w:bCs/>
      <w:sz w:val="20"/>
      <w:szCs w:val="20"/>
    </w:rPr>
  </w:style>
  <w:style w:type="paragraph" w:styleId="Revision">
    <w:name w:val="Revision"/>
    <w:hidden/>
    <w:uiPriority w:val="99"/>
    <w:semiHidden/>
    <w:rsid w:val="00887D44"/>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3109A8"/>
    <w:rPr>
      <w:color w:val="605E5C"/>
      <w:shd w:val="clear" w:color="auto" w:fill="E1DFDD"/>
    </w:rPr>
  </w:style>
  <w:style w:type="paragraph" w:customStyle="1" w:styleId="font0">
    <w:name w:val="font0"/>
    <w:basedOn w:val="Normal"/>
    <w:rsid w:val="00EB7A51"/>
    <w:pPr>
      <w:spacing w:before="100" w:beforeAutospacing="1" w:after="100" w:afterAutospacing="1"/>
    </w:pPr>
    <w:rPr>
      <w:rFonts w:ascii="Calibri" w:hAnsi="Calibri"/>
      <w:color w:val="000000"/>
      <w:sz w:val="22"/>
      <w:szCs w:val="22"/>
    </w:rPr>
  </w:style>
  <w:style w:type="character" w:customStyle="1" w:styleId="apple-converted-space">
    <w:name w:val="apple-converted-space"/>
    <w:basedOn w:val="DefaultParagraphFont"/>
    <w:rsid w:val="00DC68FC"/>
  </w:style>
  <w:style w:type="table" w:styleId="GridTable1Light">
    <w:name w:val="Grid Table 1 Light"/>
    <w:basedOn w:val="TableNormal"/>
    <w:uiPriority w:val="46"/>
    <w:rsid w:val="00E71F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71F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80181">
      <w:bodyDiv w:val="1"/>
      <w:marLeft w:val="0"/>
      <w:marRight w:val="0"/>
      <w:marTop w:val="0"/>
      <w:marBottom w:val="0"/>
      <w:divBdr>
        <w:top w:val="none" w:sz="0" w:space="0" w:color="auto"/>
        <w:left w:val="none" w:sz="0" w:space="0" w:color="auto"/>
        <w:bottom w:val="none" w:sz="0" w:space="0" w:color="auto"/>
        <w:right w:val="none" w:sz="0" w:space="0" w:color="auto"/>
      </w:divBdr>
    </w:div>
    <w:div w:id="1728798103">
      <w:bodyDiv w:val="1"/>
      <w:marLeft w:val="0"/>
      <w:marRight w:val="0"/>
      <w:marTop w:val="0"/>
      <w:marBottom w:val="0"/>
      <w:divBdr>
        <w:top w:val="none" w:sz="0" w:space="0" w:color="auto"/>
        <w:left w:val="none" w:sz="0" w:space="0" w:color="auto"/>
        <w:bottom w:val="none" w:sz="0" w:space="0" w:color="auto"/>
        <w:right w:val="none" w:sz="0" w:space="0" w:color="auto"/>
      </w:divBdr>
    </w:div>
    <w:div w:id="17880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databank.worldbank.org/data/reports.aspx?source=world-development-indicators" TargetMode="External"/><Relationship Id="rId21" Type="http://schemas.openxmlformats.org/officeDocument/2006/relationships/chart" Target="charts/chart8.xml"/><Relationship Id="rId34" Type="http://schemas.openxmlformats.org/officeDocument/2006/relationships/hyperlink" Target="https://matsne.gov.ge/ka/document/view/3938064" TargetMode="External"/><Relationship Id="rId42" Type="http://schemas.openxmlformats.org/officeDocument/2006/relationships/hyperlink" Target="https://www.un.org/sustainabledevelopment/sustainable-development-goals/" TargetMode="External"/><Relationship Id="rId47" Type="http://schemas.openxmlformats.org/officeDocument/2006/relationships/hyperlink" Target="http://new.tanadgomaweb.ge/upfiles/dfltcontent/3/150.pdf" TargetMode="External"/><Relationship Id="rId50" Type="http://schemas.openxmlformats.org/officeDocument/2006/relationships/hyperlink" Target="http://www.who.int/hiv/pub/toolkits/msm-implementation-tool/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eader" Target="header5.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hyperlink" Target="http://www.unaids.org/en/resources/documents/2017/90-90-90" TargetMode="External"/><Relationship Id="rId37" Type="http://schemas.openxmlformats.org/officeDocument/2006/relationships/hyperlink" Target="https://matsne.gov.ge/en/document/view/2657250" TargetMode="External"/><Relationship Id="rId40" Type="http://schemas.openxmlformats.org/officeDocument/2006/relationships/hyperlink" Target="http://www.unaids.org/en/regionscountries/countries/georgia" TargetMode="External"/><Relationship Id="rId45" Type="http://schemas.openxmlformats.org/officeDocument/2006/relationships/hyperlink" Target="https://aidscenter.ge/epidsituation_eng.htm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eader" Target="header6.xml"/><Relationship Id="rId44" Type="http://schemas.openxmlformats.org/officeDocument/2006/relationships/hyperlink" Target="https://matsne.gov.ge/en/document/view/2805785" TargetMode="External"/><Relationship Id="rId52" Type="http://schemas.openxmlformats.org/officeDocument/2006/relationships/hyperlink" Target="http://www.who.int/tb/country/data/profiles/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footer" Target="footer3.xml"/><Relationship Id="rId35" Type="http://schemas.openxmlformats.org/officeDocument/2006/relationships/hyperlink" Target="http://www.unaids.org/sites/default/files/media_asset/2017-Global-AIDS-Monitoring_en.pdf" TargetMode="External"/><Relationship Id="rId43" Type="http://schemas.openxmlformats.org/officeDocument/2006/relationships/hyperlink" Target="http://new.tanadgomaweb.ge/upfiles/dfltcontent/3/167.pdf" TargetMode="External"/><Relationship Id="rId48" Type="http://schemas.openxmlformats.org/officeDocument/2006/relationships/hyperlink" Target="http://www.georgia-ccm.ge/wp-content/uploads/MSM-PSE-09.12.2014_Geo.pdf" TargetMode="External"/><Relationship Id="rId8" Type="http://schemas.openxmlformats.org/officeDocument/2006/relationships/header" Target="header1.xml"/><Relationship Id="rId51" Type="http://schemas.openxmlformats.org/officeDocument/2006/relationships/hyperlink" Target="http://www.who.int/hiv/pub/sti/sex_worker_implementation/en/"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altgeorgia.ge/2012/myfiles/UNAIDS_reporrt_eng.pdf" TargetMode="External"/><Relationship Id="rId38" Type="http://schemas.openxmlformats.org/officeDocument/2006/relationships/hyperlink" Target="http://new.tanadgomaweb.ge/upfiles/dfltcontent/3/157.pdf" TargetMode="External"/><Relationship Id="rId46" Type="http://schemas.openxmlformats.org/officeDocument/2006/relationships/hyperlink" Target="https://www.nbg.gov.ge/index.php?m=340&amp;newsid=3320" TargetMode="External"/><Relationship Id="rId20" Type="http://schemas.openxmlformats.org/officeDocument/2006/relationships/chart" Target="charts/chart7.xml"/><Relationship Id="rId41" Type="http://schemas.openxmlformats.org/officeDocument/2006/relationships/hyperlink" Target="https://www.theglobalfund.org/media/5641/core_projectedtransitionsby2025_list_en.pdf?u=636570636710000000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eader" Target="header4.xml"/><Relationship Id="rId36" Type="http://schemas.openxmlformats.org/officeDocument/2006/relationships/hyperlink" Target="http://ssa.gov.ge/files/01_GEO/KANONMDEBLOBA/Kanon%20Qvemdebare/92.pdf" TargetMode="External"/><Relationship Id="rId49" Type="http://schemas.openxmlformats.org/officeDocument/2006/relationships/hyperlink" Target="http://www.moh.gov.ge/uploads/files/2017/akordeoni/failebi/Georgia_HCV_Elimination_Strategy_2016-2020.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georgia-ccm.ge/wp-content/uploads/MSM-PSE-09.12.2014_Geo.pdf" TargetMode="External"/><Relationship Id="rId13" Type="http://schemas.openxmlformats.org/officeDocument/2006/relationships/hyperlink" Target="http://www.who.int/tb/country/data/profiles/en/)" TargetMode="External"/><Relationship Id="rId18" Type="http://schemas.openxmlformats.org/officeDocument/2006/relationships/hyperlink" Target="http://databank.worldbank.org/data/reports.aspx?source=world-development-indicators" TargetMode="External"/><Relationship Id="rId3" Type="http://schemas.openxmlformats.org/officeDocument/2006/relationships/hyperlink" Target="https://www.nbg.gov.ge/index.php?m=340&amp;newsid=3320" TargetMode="External"/><Relationship Id="rId7" Type="http://schemas.openxmlformats.org/officeDocument/2006/relationships/hyperlink" Target="https://aidscenter.ge/epidsituation_eng.html" TargetMode="External"/><Relationship Id="rId12" Type="http://schemas.openxmlformats.org/officeDocument/2006/relationships/hyperlink" Target="http://new.tanadgomaweb.ge/upfiles/dfltcontent/3/157.pdf" TargetMode="External"/><Relationship Id="rId17" Type="http://schemas.openxmlformats.org/officeDocument/2006/relationships/hyperlink" Target="http://www.moh.gov.ge/uploads/files/2017/akordeoni/failebi/Georgia_HCV_Elimination_Strategy_2016-2020.pdf" TargetMode="External"/><Relationship Id="rId2" Type="http://schemas.openxmlformats.org/officeDocument/2006/relationships/hyperlink" Target="https://matsne.gov.ge/en/document/view/2657250" TargetMode="External"/><Relationship Id="rId16" Type="http://schemas.openxmlformats.org/officeDocument/2006/relationships/hyperlink" Target="http://www.who.int/hiv/pub/sti/sex_worker_implementation/en/" TargetMode="External"/><Relationship Id="rId1" Type="http://schemas.openxmlformats.org/officeDocument/2006/relationships/hyperlink" Target="http://ssa.gov.ge/files/01_GEO/KANONMDEBLOBA/Kanon%20Qvemdebare/92.pdf" TargetMode="External"/><Relationship Id="rId6" Type="http://schemas.openxmlformats.org/officeDocument/2006/relationships/hyperlink" Target="http://www.unaids.org/en/resources/documents/2017/90-90-90" TargetMode="External"/><Relationship Id="rId11" Type="http://schemas.openxmlformats.org/officeDocument/2006/relationships/hyperlink" Target="http://new.tanadgomaweb.ge/upfiles/dfltcontent/3/167.pdf" TargetMode="External"/><Relationship Id="rId5" Type="http://schemas.openxmlformats.org/officeDocument/2006/relationships/hyperlink" Target="https://www.un.org/sustainabledevelopment/sustainable-development-goals/" TargetMode="External"/><Relationship Id="rId15" Type="http://schemas.openxmlformats.org/officeDocument/2006/relationships/hyperlink" Target="http://www.who.int/hiv/pub/toolkits/msm-implementation-tool/en/" TargetMode="External"/><Relationship Id="rId10" Type="http://schemas.openxmlformats.org/officeDocument/2006/relationships/hyperlink" Target="http://new.tanadgomaweb.ge/upfiles/dfltcontent/3/150.pdf" TargetMode="External"/><Relationship Id="rId19" Type="http://schemas.openxmlformats.org/officeDocument/2006/relationships/hyperlink" Target="https://aidscenter.ge/epidsituation_eng.html" TargetMode="External"/><Relationship Id="rId4" Type="http://schemas.openxmlformats.org/officeDocument/2006/relationships/hyperlink" Target="https://www.theglobalfund.org/media/5641/core_projectedtransitionsby2025_list_en.pdf?u=63657063671000000020" TargetMode="External"/><Relationship Id="rId9" Type="http://schemas.openxmlformats.org/officeDocument/2006/relationships/hyperlink" Target="http://www.unaids.org/en/regionscountries/countries/georgia" TargetMode="External"/><Relationship Id="rId14" Type="http://schemas.openxmlformats.org/officeDocument/2006/relationships/hyperlink" Target="http://altgeorgia.ge/2012/myfiles/UNAIDS_reporrt_eng.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2.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1" Type="http://schemas.openxmlformats.org/officeDocument/2006/relationships/oleObject" Target="file:////F:\HIV%20Expenditur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Macintosh%20HD:Users:Lela:Documents:HIV%20Expenditur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HIV%20Expenditures.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 of new cases registered annually</c:v>
                </c:pt>
              </c:strCache>
            </c:strRef>
          </c:tx>
          <c:spPr>
            <a:ln w="19050" cap="rnd">
              <a:solidFill>
                <a:srgbClr val="FF0000"/>
              </a:solidFill>
              <a:round/>
            </a:ln>
            <a:effectLst/>
          </c:spPr>
          <c:marker>
            <c:symbol val="star"/>
            <c:size val="8"/>
            <c:spPr>
              <a:noFill/>
              <a:ln w="9525">
                <a:solidFill>
                  <a:srgbClr val="FF0000"/>
                </a:solidFill>
              </a:ln>
              <a:effectLst/>
            </c:spPr>
          </c:marker>
          <c:dLbls>
            <c:dLbl>
              <c:idx val="0"/>
              <c:layout>
                <c:manualLayout>
                  <c:x val="-3.7037037037037049E-2"/>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53-B444-B34B-F9F418451CEB}"/>
                </c:ext>
              </c:extLst>
            </c:dLbl>
            <c:dLbl>
              <c:idx val="1"/>
              <c:layout>
                <c:manualLayout>
                  <c:x val="-3.009259259259257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53-B444-B34B-F9F418451CEB}"/>
                </c:ext>
              </c:extLst>
            </c:dLbl>
            <c:dLbl>
              <c:idx val="2"/>
              <c:layout>
                <c:manualLayout>
                  <c:x val="-4.1666666666666664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53-B444-B34B-F9F418451CEB}"/>
                </c:ext>
              </c:extLst>
            </c:dLbl>
            <c:dLbl>
              <c:idx val="3"/>
              <c:layout>
                <c:manualLayout>
                  <c:x val="-3.4722222222222224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53-B444-B34B-F9F418451CEB}"/>
                </c:ext>
              </c:extLst>
            </c:dLbl>
            <c:dLbl>
              <c:idx val="4"/>
              <c:layout>
                <c:manualLayout>
                  <c:x val="-3.2407407407407406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53-B444-B34B-F9F418451CEB}"/>
                </c:ext>
              </c:extLst>
            </c:dLbl>
            <c:dLbl>
              <c:idx val="5"/>
              <c:layout>
                <c:manualLayout>
                  <c:x val="-3.4722222222222307E-2"/>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53-B444-B34B-F9F418451CEB}"/>
                </c:ext>
              </c:extLst>
            </c:dLbl>
            <c:dLbl>
              <c:idx val="6"/>
              <c:layout>
                <c:manualLayout>
                  <c:x val="-3.7037037037037035E-2"/>
                  <c:y val="-4.7619047619047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53-B444-B34B-F9F418451CEB}"/>
                </c:ext>
              </c:extLst>
            </c:dLbl>
            <c:dLbl>
              <c:idx val="7"/>
              <c:layout>
                <c:manualLayout>
                  <c:x val="-3.0092592592592678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653-B444-B34B-F9F418451CEB}"/>
                </c:ext>
              </c:extLst>
            </c:dLbl>
            <c:dLbl>
              <c:idx val="8"/>
              <c:layout>
                <c:manualLayout>
                  <c:x val="-4.3981481481481649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653-B444-B34B-F9F418451C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351</c:v>
                </c:pt>
                <c:pt idx="1">
                  <c:v>385</c:v>
                </c:pt>
                <c:pt idx="2">
                  <c:v>455</c:v>
                </c:pt>
                <c:pt idx="3">
                  <c:v>424</c:v>
                </c:pt>
                <c:pt idx="4">
                  <c:v>526</c:v>
                </c:pt>
                <c:pt idx="5">
                  <c:v>490</c:v>
                </c:pt>
                <c:pt idx="6">
                  <c:v>564</c:v>
                </c:pt>
                <c:pt idx="7">
                  <c:v>717</c:v>
                </c:pt>
                <c:pt idx="8">
                  <c:v>719</c:v>
                </c:pt>
                <c:pt idx="9">
                  <c:v>631</c:v>
                </c:pt>
              </c:numCache>
            </c:numRef>
          </c:val>
          <c:smooth val="0"/>
          <c:extLst>
            <c:ext xmlns:c16="http://schemas.microsoft.com/office/drawing/2014/chart" uri="{C3380CC4-5D6E-409C-BE32-E72D297353CC}">
              <c16:uniqueId val="{00000009-B653-B444-B34B-F9F418451CEB}"/>
            </c:ext>
          </c:extLst>
        </c:ser>
        <c:dLbls>
          <c:showLegendKey val="0"/>
          <c:showVal val="0"/>
          <c:showCatName val="0"/>
          <c:showSerName val="0"/>
          <c:showPercent val="0"/>
          <c:showBubbleSize val="0"/>
        </c:dLbls>
        <c:marker val="1"/>
        <c:smooth val="0"/>
        <c:axId val="698574248"/>
        <c:axId val="698575032"/>
      </c:lineChart>
      <c:catAx>
        <c:axId val="69857424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8575032"/>
        <c:crosses val="autoZero"/>
        <c:auto val="1"/>
        <c:lblAlgn val="ctr"/>
        <c:lblOffset val="100"/>
        <c:noMultiLvlLbl val="0"/>
      </c:catAx>
      <c:valAx>
        <c:axId val="69857503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8574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09660250801984E-2"/>
          <c:y val="0.14718253968253969"/>
          <c:w val="0.89360145086030918"/>
          <c:h val="0.626395138107736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Sheet1!$A$2:$A$5</c:f>
              <c:strCache>
                <c:ptCount val="4"/>
                <c:pt idx="0">
                  <c:v>Living with HIV (Estimated)</c:v>
                </c:pt>
                <c:pt idx="1">
                  <c:v>Diagnozed</c:v>
                </c:pt>
                <c:pt idx="2">
                  <c:v>On ART</c:v>
                </c:pt>
                <c:pt idx="3">
                  <c:v>Virally Suppressed </c:v>
                </c:pt>
              </c:strCache>
            </c:strRef>
          </c:cat>
          <c:val>
            <c:numRef>
              <c:f>Sheet1!$B$2:$B$5</c:f>
              <c:numCache>
                <c:formatCode>0%</c:formatCode>
                <c:ptCount val="4"/>
                <c:pt idx="0">
                  <c:v>1</c:v>
                </c:pt>
                <c:pt idx="1">
                  <c:v>0.48</c:v>
                </c:pt>
                <c:pt idx="2">
                  <c:v>0.39</c:v>
                </c:pt>
                <c:pt idx="3">
                  <c:v>0.35</c:v>
                </c:pt>
              </c:numCache>
            </c:numRef>
          </c:val>
          <c:extLst>
            <c:ext xmlns:c16="http://schemas.microsoft.com/office/drawing/2014/chart" uri="{C3380CC4-5D6E-409C-BE32-E72D297353CC}">
              <c16:uniqueId val="{00000000-9425-A449-A0C7-C1AD76566521}"/>
            </c:ext>
          </c:extLst>
        </c:ser>
        <c:dLbls>
          <c:showLegendKey val="0"/>
          <c:showVal val="0"/>
          <c:showCatName val="0"/>
          <c:showSerName val="0"/>
          <c:showPercent val="0"/>
          <c:showBubbleSize val="0"/>
        </c:dLbls>
        <c:gapWidth val="111"/>
        <c:axId val="629728568"/>
        <c:axId val="629728176"/>
      </c:barChart>
      <c:catAx>
        <c:axId val="6297285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9728176"/>
        <c:crosses val="autoZero"/>
        <c:auto val="1"/>
        <c:lblAlgn val="ctr"/>
        <c:lblOffset val="100"/>
        <c:noMultiLvlLbl val="0"/>
      </c:catAx>
      <c:valAx>
        <c:axId val="629728176"/>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9728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Target</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Sheet1!$B$2:$B$4</c:f>
              <c:numCache>
                <c:formatCode>0%</c:formatCode>
                <c:ptCount val="3"/>
                <c:pt idx="0">
                  <c:v>0.25</c:v>
                </c:pt>
                <c:pt idx="1">
                  <c:v>0.35</c:v>
                </c:pt>
                <c:pt idx="2">
                  <c:v>0.5</c:v>
                </c:pt>
              </c:numCache>
            </c:numRef>
          </c:val>
          <c:extLst>
            <c:ext xmlns:c16="http://schemas.microsoft.com/office/drawing/2014/chart" uri="{C3380CC4-5D6E-409C-BE32-E72D297353CC}">
              <c16:uniqueId val="{00000000-455B-C544-9662-3151C6939881}"/>
            </c:ext>
          </c:extLst>
        </c:ser>
        <c:ser>
          <c:idx val="1"/>
          <c:order val="1"/>
          <c:tx>
            <c:strRef>
              <c:f>Sheet1!$C$1</c:f>
              <c:strCache>
                <c:ptCount val="1"/>
                <c:pt idx="0">
                  <c:v>Actual</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2016</c:v>
                </c:pt>
                <c:pt idx="1">
                  <c:v>2017</c:v>
                </c:pt>
                <c:pt idx="2">
                  <c:v>2018</c:v>
                </c:pt>
              </c:numCache>
            </c:numRef>
          </c:cat>
          <c:val>
            <c:numRef>
              <c:f>Sheet1!$C$2:$C$4</c:f>
              <c:numCache>
                <c:formatCode>0.0%</c:formatCode>
                <c:ptCount val="3"/>
                <c:pt idx="0">
                  <c:v>0.22500000000000001</c:v>
                </c:pt>
                <c:pt idx="1">
                  <c:v>0.36199999999999999</c:v>
                </c:pt>
                <c:pt idx="2">
                  <c:v>0.38900000000000001</c:v>
                </c:pt>
              </c:numCache>
            </c:numRef>
          </c:val>
          <c:extLst>
            <c:ext xmlns:c16="http://schemas.microsoft.com/office/drawing/2014/chart" uri="{C3380CC4-5D6E-409C-BE32-E72D297353CC}">
              <c16:uniqueId val="{00000001-455B-C544-9662-3151C6939881}"/>
            </c:ext>
          </c:extLst>
        </c:ser>
        <c:dLbls>
          <c:showLegendKey val="0"/>
          <c:showVal val="0"/>
          <c:showCatName val="0"/>
          <c:showSerName val="0"/>
          <c:showPercent val="0"/>
          <c:showBubbleSize val="0"/>
        </c:dLbls>
        <c:gapWidth val="164"/>
        <c:overlap val="-27"/>
        <c:axId val="629729744"/>
        <c:axId val="761076720"/>
      </c:barChart>
      <c:catAx>
        <c:axId val="62972974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761076720"/>
        <c:crosses val="autoZero"/>
        <c:auto val="1"/>
        <c:lblAlgn val="ctr"/>
        <c:lblOffset val="100"/>
        <c:noMultiLvlLbl val="0"/>
      </c:catAx>
      <c:valAx>
        <c:axId val="761076720"/>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2972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National HVI responce Expenditures (USD)</a:t>
            </a:r>
          </a:p>
        </c:rich>
      </c:tx>
      <c:overlay val="0"/>
    </c:title>
    <c:autoTitleDeleted val="0"/>
    <c:plotArea>
      <c:layout/>
      <c:barChart>
        <c:barDir val="col"/>
        <c:grouping val="stacked"/>
        <c:varyColors val="0"/>
        <c:ser>
          <c:idx val="0"/>
          <c:order val="0"/>
          <c:tx>
            <c:strRef>
              <c:f>'Summary Sheet'!$A$18</c:f>
              <c:strCache>
                <c:ptCount val="1"/>
                <c:pt idx="0">
                  <c:v>Public</c:v>
                </c:pt>
              </c:strCache>
            </c:strRef>
          </c:tx>
          <c:invertIfNegative val="0"/>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Sheet'!$B$18:$L$18</c:f>
              <c:numCache>
                <c:formatCode>_-* #,##0_-;\-* #,##0_-;_-* "-"??_-;_-@_-</c:formatCode>
                <c:ptCount val="7"/>
                <c:pt idx="0">
                  <c:v>8753885</c:v>
                </c:pt>
                <c:pt idx="1">
                  <c:v>12854447.5429924</c:v>
                </c:pt>
                <c:pt idx="2">
                  <c:v>13579336.283185801</c:v>
                </c:pt>
                <c:pt idx="3">
                  <c:v>16615579.5252342</c:v>
                </c:pt>
                <c:pt idx="4">
                  <c:v>18077977.7231749</c:v>
                </c:pt>
                <c:pt idx="5">
                  <c:v>18091977.7059232</c:v>
                </c:pt>
                <c:pt idx="6">
                  <c:v>18715976.936992001</c:v>
                </c:pt>
              </c:numCache>
            </c:numRef>
          </c:val>
          <c:extLst>
            <c:ext xmlns:c16="http://schemas.microsoft.com/office/drawing/2014/chart" uri="{C3380CC4-5D6E-409C-BE32-E72D297353CC}">
              <c16:uniqueId val="{00000000-57A8-B94E-B8F1-BC6CF5637F50}"/>
            </c:ext>
          </c:extLst>
        </c:ser>
        <c:ser>
          <c:idx val="1"/>
          <c:order val="1"/>
          <c:tx>
            <c:strRef>
              <c:f>'Summary Sheet'!$A$19</c:f>
              <c:strCache>
                <c:ptCount val="1"/>
                <c:pt idx="0">
                  <c:v>Private </c:v>
                </c:pt>
              </c:strCache>
            </c:strRef>
          </c:tx>
          <c:invertIfNegative val="0"/>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Sheet'!$B$19:$L$19</c:f>
              <c:numCache>
                <c:formatCode>_-* #,##0_-;\-* #,##0_-;_-* "-"??_-;_-@_-</c:formatCode>
                <c:ptCount val="7"/>
                <c:pt idx="0">
                  <c:v>2119879</c:v>
                </c:pt>
                <c:pt idx="1">
                  <c:v>522390.67055393592</c:v>
                </c:pt>
                <c:pt idx="2">
                  <c:v>376292.35430120397</c:v>
                </c:pt>
                <c:pt idx="3">
                  <c:v>239999.70425721741</c:v>
                </c:pt>
                <c:pt idx="4">
                  <c:v>239999.70425721741</c:v>
                </c:pt>
                <c:pt idx="5">
                  <c:v>239999.70425721741</c:v>
                </c:pt>
                <c:pt idx="6">
                  <c:v>239999.70425721741</c:v>
                </c:pt>
              </c:numCache>
            </c:numRef>
          </c:val>
          <c:extLst>
            <c:ext xmlns:c16="http://schemas.microsoft.com/office/drawing/2014/chart" uri="{C3380CC4-5D6E-409C-BE32-E72D297353CC}">
              <c16:uniqueId val="{00000001-57A8-B94E-B8F1-BC6CF5637F50}"/>
            </c:ext>
          </c:extLst>
        </c:ser>
        <c:ser>
          <c:idx val="2"/>
          <c:order val="2"/>
          <c:tx>
            <c:strRef>
              <c:f>'Summary Sheet'!$A$20</c:f>
              <c:strCache>
                <c:ptCount val="1"/>
                <c:pt idx="0">
                  <c:v>International</c:v>
                </c:pt>
              </c:strCache>
            </c:strRef>
          </c:tx>
          <c:invertIfNegative val="0"/>
          <c:cat>
            <c:numRef>
              <c:f>'Summary Sheet'!$B$17:$L$17</c:f>
              <c:numCache>
                <c:formatCode>General</c:formatCode>
                <c:ptCount val="7"/>
                <c:pt idx="0">
                  <c:v>2015</c:v>
                </c:pt>
                <c:pt idx="1">
                  <c:v>2016</c:v>
                </c:pt>
                <c:pt idx="2">
                  <c:v>2017</c:v>
                </c:pt>
                <c:pt idx="3">
                  <c:v>2018</c:v>
                </c:pt>
                <c:pt idx="4">
                  <c:v>2019</c:v>
                </c:pt>
                <c:pt idx="5">
                  <c:v>2020</c:v>
                </c:pt>
                <c:pt idx="6">
                  <c:v>2021</c:v>
                </c:pt>
              </c:numCache>
            </c:numRef>
          </c:cat>
          <c:val>
            <c:numRef>
              <c:f>'Summary Sheet'!$B$20:$L$20</c:f>
              <c:numCache>
                <c:formatCode>_-* #,##0_-;\-* #,##0_-;_-* "-"??_-;_-@_-</c:formatCode>
                <c:ptCount val="7"/>
                <c:pt idx="0">
                  <c:v>5079545.8099999996</c:v>
                </c:pt>
                <c:pt idx="1">
                  <c:v>5240760.13013901</c:v>
                </c:pt>
                <c:pt idx="2">
                  <c:v>6221985.1710117199</c:v>
                </c:pt>
                <c:pt idx="3">
                  <c:v>4890000</c:v>
                </c:pt>
                <c:pt idx="4">
                  <c:v>3850000</c:v>
                </c:pt>
                <c:pt idx="5">
                  <c:v>2750000</c:v>
                </c:pt>
                <c:pt idx="6">
                  <c:v>2750000</c:v>
                </c:pt>
              </c:numCache>
            </c:numRef>
          </c:val>
          <c:extLst>
            <c:ext xmlns:c16="http://schemas.microsoft.com/office/drawing/2014/chart" uri="{C3380CC4-5D6E-409C-BE32-E72D297353CC}">
              <c16:uniqueId val="{00000002-57A8-B94E-B8F1-BC6CF5637F50}"/>
            </c:ext>
          </c:extLst>
        </c:ser>
        <c:dLbls>
          <c:showLegendKey val="0"/>
          <c:showVal val="0"/>
          <c:showCatName val="0"/>
          <c:showSerName val="0"/>
          <c:showPercent val="0"/>
          <c:showBubbleSize val="0"/>
        </c:dLbls>
        <c:gapWidth val="55"/>
        <c:overlap val="100"/>
        <c:axId val="761070448"/>
        <c:axId val="761073584"/>
      </c:barChart>
      <c:catAx>
        <c:axId val="761070448"/>
        <c:scaling>
          <c:orientation val="minMax"/>
        </c:scaling>
        <c:delete val="0"/>
        <c:axPos val="b"/>
        <c:numFmt formatCode="General" sourceLinked="1"/>
        <c:majorTickMark val="none"/>
        <c:minorTickMark val="none"/>
        <c:tickLblPos val="nextTo"/>
        <c:crossAx val="761073584"/>
        <c:crosses val="autoZero"/>
        <c:auto val="1"/>
        <c:lblAlgn val="ctr"/>
        <c:lblOffset val="100"/>
        <c:noMultiLvlLbl val="0"/>
      </c:catAx>
      <c:valAx>
        <c:axId val="761073584"/>
        <c:scaling>
          <c:orientation val="minMax"/>
        </c:scaling>
        <c:delete val="0"/>
        <c:axPos val="l"/>
        <c:majorGridlines/>
        <c:numFmt formatCode="_-* #,##0_-;\-* #,##0_-;_-* &quot;-&quot;??_-;_-@_-" sourceLinked="1"/>
        <c:majorTickMark val="none"/>
        <c:minorTickMark val="none"/>
        <c:tickLblPos val="nextTo"/>
        <c:crossAx val="761070448"/>
        <c:crosses val="autoZero"/>
        <c:crossBetween val="between"/>
      </c:valAx>
    </c:plotArea>
    <c:legend>
      <c:legendPos val="r"/>
      <c:overlay val="0"/>
    </c:legend>
    <c:plotVisOnly val="1"/>
    <c:dispBlanksAs val="gap"/>
    <c:showDLblsOverMax val="0"/>
  </c:chart>
  <c:txPr>
    <a:bodyPr/>
    <a:lstStyle/>
    <a:p>
      <a:pPr>
        <a:defRPr sz="700"/>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pPr>
            <a:r>
              <a:rPr lang="en-US" sz="1400"/>
              <a:t>Expenditures by Source</a:t>
            </a:r>
          </a:p>
        </c:rich>
      </c:tx>
      <c:overlay val="0"/>
    </c:title>
    <c:autoTitleDeleted val="0"/>
    <c:plotArea>
      <c:layout/>
      <c:barChart>
        <c:barDir val="col"/>
        <c:grouping val="percentStacked"/>
        <c:varyColors val="0"/>
        <c:ser>
          <c:idx val="0"/>
          <c:order val="0"/>
          <c:tx>
            <c:strRef>
              <c:f>'Summary Sheet'!$AN$9</c:f>
              <c:strCache>
                <c:ptCount val="1"/>
                <c:pt idx="0">
                  <c:v>Public</c:v>
                </c:pt>
              </c:strCache>
            </c:strRef>
          </c:tx>
          <c:invertIfNegative val="0"/>
          <c:dLbls>
            <c:spPr>
              <a:noFill/>
              <a:ln>
                <a:noFill/>
              </a:ln>
              <a:effectLst/>
            </c:spPr>
            <c:txPr>
              <a:bodyPr wrap="square" lIns="38100" tIns="19050" rIns="38100" bIns="19050" anchor="ctr">
                <a:spAutoFit/>
              </a:bodyPr>
              <a:lstStyle/>
              <a:p>
                <a:pPr>
                  <a:defRPr sz="8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Sheet'!$AO$9:$AQ$9</c:f>
              <c:numCache>
                <c:formatCode>0%</c:formatCode>
                <c:ptCount val="3"/>
                <c:pt idx="0">
                  <c:v>0.690446066441879</c:v>
                </c:pt>
                <c:pt idx="1">
                  <c:v>0.76408999502299402</c:v>
                </c:pt>
                <c:pt idx="2">
                  <c:v>0.86224993449153797</c:v>
                </c:pt>
              </c:numCache>
            </c:numRef>
          </c:val>
          <c:extLst>
            <c:ext xmlns:c16="http://schemas.microsoft.com/office/drawing/2014/chart" uri="{C3380CC4-5D6E-409C-BE32-E72D297353CC}">
              <c16:uniqueId val="{00000000-3093-1B43-94BD-06F32A034E4F}"/>
            </c:ext>
          </c:extLst>
        </c:ser>
        <c:ser>
          <c:idx val="1"/>
          <c:order val="1"/>
          <c:tx>
            <c:strRef>
              <c:f>'Summary Sheet'!$AN$10</c:f>
              <c:strCache>
                <c:ptCount val="1"/>
                <c:pt idx="0">
                  <c:v>Private </c:v>
                </c:pt>
              </c:strCache>
            </c:strRef>
          </c:tx>
          <c:invertIfNegative val="0"/>
          <c:dLbls>
            <c:dLbl>
              <c:idx val="0"/>
              <c:layout>
                <c:manualLayout>
                  <c:x val="0"/>
                  <c:y val="4.4526901669758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93-1B43-94BD-06F32A034E4F}"/>
                </c:ext>
              </c:extLst>
            </c:dLbl>
            <c:dLbl>
              <c:idx val="1"/>
              <c:layout>
                <c:manualLayout>
                  <c:x val="0"/>
                  <c:y val="3.7105751391465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93-1B43-94BD-06F32A034E4F}"/>
                </c:ext>
              </c:extLst>
            </c:dLbl>
            <c:dLbl>
              <c:idx val="2"/>
              <c:layout>
                <c:manualLayout>
                  <c:x val="2.0161290322580601E-3"/>
                  <c:y val="2.5974025974025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93-1B43-94BD-06F32A034E4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Sheet'!$AO$10:$AQ$10</c:f>
              <c:numCache>
                <c:formatCode>0%</c:formatCode>
                <c:ptCount val="3"/>
                <c:pt idx="0">
                  <c:v>2.8058971995768699E-2</c:v>
                </c:pt>
                <c:pt idx="1">
                  <c:v>1.10367124151712E-2</c:v>
                </c:pt>
                <c:pt idx="2">
                  <c:v>1.1056848914189401E-2</c:v>
                </c:pt>
              </c:numCache>
            </c:numRef>
          </c:val>
          <c:extLst>
            <c:ext xmlns:c16="http://schemas.microsoft.com/office/drawing/2014/chart" uri="{C3380CC4-5D6E-409C-BE32-E72D297353CC}">
              <c16:uniqueId val="{00000004-3093-1B43-94BD-06F32A034E4F}"/>
            </c:ext>
          </c:extLst>
        </c:ser>
        <c:ser>
          <c:idx val="2"/>
          <c:order val="2"/>
          <c:tx>
            <c:strRef>
              <c:f>'Summary Sheet'!$AN$11</c:f>
              <c:strCache>
                <c:ptCount val="1"/>
                <c:pt idx="0">
                  <c:v>International</c:v>
                </c:pt>
              </c:strCache>
            </c:strRef>
          </c:tx>
          <c:invertIfNegative val="0"/>
          <c:dLbls>
            <c:spPr>
              <a:noFill/>
              <a:ln>
                <a:noFill/>
              </a:ln>
              <a:effectLst/>
            </c:spPr>
            <c:txPr>
              <a:bodyPr wrap="square" lIns="38100" tIns="19050" rIns="38100" bIns="19050" anchor="ctr">
                <a:spAutoFit/>
              </a:bodyPr>
              <a:lstStyle/>
              <a:p>
                <a:pPr>
                  <a:defRPr sz="900" b="1"/>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'Summary Sheet'!$AO$8:$AQ$8</c:f>
              <c:numCache>
                <c:formatCode>General</c:formatCode>
                <c:ptCount val="3"/>
                <c:pt idx="0">
                  <c:v>2016</c:v>
                </c:pt>
                <c:pt idx="1">
                  <c:v>2018</c:v>
                </c:pt>
                <c:pt idx="2">
                  <c:v>2021</c:v>
                </c:pt>
              </c:numCache>
            </c:numRef>
          </c:cat>
          <c:val>
            <c:numRef>
              <c:f>'Summary Sheet'!$AO$11:$AQ$11</c:f>
              <c:numCache>
                <c:formatCode>0%</c:formatCode>
                <c:ptCount val="3"/>
                <c:pt idx="0">
                  <c:v>0.28149496156235299</c:v>
                </c:pt>
                <c:pt idx="1">
                  <c:v>0.224873292561835</c:v>
                </c:pt>
                <c:pt idx="2">
                  <c:v>0.12669321659427199</c:v>
                </c:pt>
              </c:numCache>
            </c:numRef>
          </c:val>
          <c:extLst>
            <c:ext xmlns:c16="http://schemas.microsoft.com/office/drawing/2014/chart" uri="{C3380CC4-5D6E-409C-BE32-E72D297353CC}">
              <c16:uniqueId val="{00000005-3093-1B43-94BD-06F32A034E4F}"/>
            </c:ext>
          </c:extLst>
        </c:ser>
        <c:dLbls>
          <c:showLegendKey val="0"/>
          <c:showVal val="0"/>
          <c:showCatName val="0"/>
          <c:showSerName val="0"/>
          <c:showPercent val="0"/>
          <c:showBubbleSize val="0"/>
        </c:dLbls>
        <c:gapWidth val="300"/>
        <c:axId val="761071232"/>
        <c:axId val="761074760"/>
      </c:barChart>
      <c:catAx>
        <c:axId val="761071232"/>
        <c:scaling>
          <c:orientation val="minMax"/>
        </c:scaling>
        <c:delete val="0"/>
        <c:axPos val="b"/>
        <c:numFmt formatCode="General" sourceLinked="1"/>
        <c:majorTickMark val="none"/>
        <c:minorTickMark val="none"/>
        <c:tickLblPos val="nextTo"/>
        <c:crossAx val="761074760"/>
        <c:crosses val="autoZero"/>
        <c:auto val="1"/>
        <c:lblAlgn val="ctr"/>
        <c:lblOffset val="100"/>
        <c:noMultiLvlLbl val="0"/>
      </c:catAx>
      <c:valAx>
        <c:axId val="761074760"/>
        <c:scaling>
          <c:orientation val="minMax"/>
        </c:scaling>
        <c:delete val="0"/>
        <c:axPos val="l"/>
        <c:numFmt formatCode="0%" sourceLinked="1"/>
        <c:majorTickMark val="none"/>
        <c:minorTickMark val="none"/>
        <c:tickLblPos val="nextTo"/>
        <c:txPr>
          <a:bodyPr/>
          <a:lstStyle/>
          <a:p>
            <a:pPr>
              <a:defRPr sz="800"/>
            </a:pPr>
            <a:endParaRPr lang="en-US"/>
          </a:p>
        </c:txPr>
        <c:crossAx val="761071232"/>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'Summary Sheet'!$A$38</c:f>
              <c:strCache>
                <c:ptCount val="1"/>
                <c:pt idx="0">
                  <c:v>Prevention</c:v>
                </c:pt>
              </c:strCache>
            </c:strRef>
          </c:tx>
          <c:invertIfNegative val="0"/>
          <c:dLbls>
            <c:spPr>
              <a:noFill/>
              <a:ln>
                <a:noFill/>
              </a:ln>
              <a:effectLst/>
            </c:spPr>
            <c:txPr>
              <a:bodyPr wrap="square" lIns="38100" tIns="19050" rIns="38100" bIns="19050" anchor="ctr">
                <a:spAutoFit/>
              </a:bodyPr>
              <a:lstStyle/>
              <a:p>
                <a:pPr>
                  <a:defRPr sz="9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'Summary Sheet'!$B$37:$L$37</c:f>
              <c:numCache>
                <c:formatCode>General</c:formatCode>
                <c:ptCount val="7"/>
                <c:pt idx="0">
                  <c:v>2015</c:v>
                </c:pt>
                <c:pt idx="1">
                  <c:v>2016</c:v>
                </c:pt>
                <c:pt idx="2">
                  <c:v>2017</c:v>
                </c:pt>
                <c:pt idx="3">
                  <c:v>2018</c:v>
                </c:pt>
                <c:pt idx="4">
                  <c:v>2019</c:v>
                </c:pt>
                <c:pt idx="5">
                  <c:v>2020</c:v>
                </c:pt>
                <c:pt idx="6">
                  <c:v>2021</c:v>
                </c:pt>
              </c:numCache>
            </c:numRef>
          </c:cat>
          <c:val>
            <c:numRef>
              <c:f>'Summary Sheet'!$B$38:$L$38</c:f>
              <c:numCache>
                <c:formatCode>_-* #,##0_-;\-* #,##0_-;_-* "-"??_-;_-@_-</c:formatCode>
                <c:ptCount val="7"/>
                <c:pt idx="0">
                  <c:v>6279661.75</c:v>
                </c:pt>
                <c:pt idx="1">
                  <c:v>10797304.2633202</c:v>
                </c:pt>
                <c:pt idx="2">
                  <c:v>10941608.8655027</c:v>
                </c:pt>
                <c:pt idx="3">
                  <c:v>12937988.074172299</c:v>
                </c:pt>
                <c:pt idx="4">
                  <c:v>13465986.3637932</c:v>
                </c:pt>
                <c:pt idx="5">
                  <c:v>13165986.3637932</c:v>
                </c:pt>
                <c:pt idx="6">
                  <c:v>13205986.314502699</c:v>
                </c:pt>
              </c:numCache>
            </c:numRef>
          </c:val>
          <c:extLst>
            <c:ext xmlns:c16="http://schemas.microsoft.com/office/drawing/2014/chart" uri="{C3380CC4-5D6E-409C-BE32-E72D297353CC}">
              <c16:uniqueId val="{00000000-2917-B04A-9842-DA6CB4456F99}"/>
            </c:ext>
          </c:extLst>
        </c:ser>
        <c:ser>
          <c:idx val="1"/>
          <c:order val="1"/>
          <c:tx>
            <c:strRef>
              <c:f>'Summary Sheet'!$A$39</c:f>
              <c:strCache>
                <c:ptCount val="1"/>
                <c:pt idx="0">
                  <c:v>Prevention of vertical transmission</c:v>
                </c:pt>
              </c:strCache>
            </c:strRef>
          </c:tx>
          <c:invertIfNegative val="0"/>
          <c:dLbls>
            <c:spPr>
              <a:noFill/>
              <a:ln>
                <a:noFill/>
              </a:ln>
              <a:effectLst/>
            </c:spPr>
            <c:txPr>
              <a:bodyPr wrap="square" lIns="38100" tIns="19050" rIns="38100" bIns="19050" anchor="ctr">
                <a:spAutoFit/>
              </a:bodyPr>
              <a:lstStyle/>
              <a:p>
                <a:pPr>
                  <a:defRPr sz="9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'Summary Sheet'!$B$37:$L$37</c:f>
              <c:numCache>
                <c:formatCode>General</c:formatCode>
                <c:ptCount val="7"/>
                <c:pt idx="0">
                  <c:v>2015</c:v>
                </c:pt>
                <c:pt idx="1">
                  <c:v>2016</c:v>
                </c:pt>
                <c:pt idx="2">
                  <c:v>2017</c:v>
                </c:pt>
                <c:pt idx="3">
                  <c:v>2018</c:v>
                </c:pt>
                <c:pt idx="4">
                  <c:v>2019</c:v>
                </c:pt>
                <c:pt idx="5">
                  <c:v>2020</c:v>
                </c:pt>
                <c:pt idx="6">
                  <c:v>2021</c:v>
                </c:pt>
              </c:numCache>
            </c:numRef>
          </c:cat>
          <c:val>
            <c:numRef>
              <c:f>'Summary Sheet'!$B$39:$L$39</c:f>
              <c:numCache>
                <c:formatCode>_-* #,##0_-;\-* #,##0_-;_-* "-"??_-;_-@_-</c:formatCode>
                <c:ptCount val="7"/>
                <c:pt idx="0">
                  <c:v>120581.45</c:v>
                </c:pt>
                <c:pt idx="1">
                  <c:v>686801.87602991518</c:v>
                </c:pt>
                <c:pt idx="2">
                  <c:v>807535.27864147339</c:v>
                </c:pt>
                <c:pt idx="3">
                  <c:v>949518.82994297089</c:v>
                </c:pt>
                <c:pt idx="4">
                  <c:v>958398.81900048803</c:v>
                </c:pt>
                <c:pt idx="5">
                  <c:v>961198.81555015547</c:v>
                </c:pt>
                <c:pt idx="6">
                  <c:v>1057198.69725304</c:v>
                </c:pt>
              </c:numCache>
            </c:numRef>
          </c:val>
          <c:extLst>
            <c:ext xmlns:c16="http://schemas.microsoft.com/office/drawing/2014/chart" uri="{C3380CC4-5D6E-409C-BE32-E72D297353CC}">
              <c16:uniqueId val="{00000001-2917-B04A-9842-DA6CB4456F99}"/>
            </c:ext>
          </c:extLst>
        </c:ser>
        <c:ser>
          <c:idx val="2"/>
          <c:order val="2"/>
          <c:tx>
            <c:strRef>
              <c:f>'Summary Sheet'!$A$40</c:f>
              <c:strCache>
                <c:ptCount val="1"/>
                <c:pt idx="0">
                  <c:v>Treatment, care and support</c:v>
                </c:pt>
              </c:strCache>
            </c:strRef>
          </c:tx>
          <c:invertIfNegative val="0"/>
          <c:dLbls>
            <c:spPr>
              <a:noFill/>
              <a:ln>
                <a:noFill/>
              </a:ln>
              <a:effectLst/>
            </c:spPr>
            <c:txPr>
              <a:bodyPr wrap="square" lIns="38100" tIns="19050" rIns="38100" bIns="19050" anchor="ctr">
                <a:spAutoFit/>
              </a:bodyPr>
              <a:lstStyle/>
              <a:p>
                <a:pPr>
                  <a:defRPr sz="9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'Summary Sheet'!$B$37:$L$37</c:f>
              <c:numCache>
                <c:formatCode>General</c:formatCode>
                <c:ptCount val="7"/>
                <c:pt idx="0">
                  <c:v>2015</c:v>
                </c:pt>
                <c:pt idx="1">
                  <c:v>2016</c:v>
                </c:pt>
                <c:pt idx="2">
                  <c:v>2017</c:v>
                </c:pt>
                <c:pt idx="3">
                  <c:v>2018</c:v>
                </c:pt>
                <c:pt idx="4">
                  <c:v>2019</c:v>
                </c:pt>
                <c:pt idx="5">
                  <c:v>2020</c:v>
                </c:pt>
                <c:pt idx="6">
                  <c:v>2021</c:v>
                </c:pt>
              </c:numCache>
            </c:numRef>
          </c:cat>
          <c:val>
            <c:numRef>
              <c:f>'Summary Sheet'!$B$40:$L$40</c:f>
              <c:numCache>
                <c:formatCode>_-* #,##0_-;\-* #,##0_-;_-* "-"??_-;_-@_-</c:formatCode>
                <c:ptCount val="7"/>
                <c:pt idx="0">
                  <c:v>8109984.8300000001</c:v>
                </c:pt>
                <c:pt idx="1">
                  <c:v>4923039.67549753</c:v>
                </c:pt>
                <c:pt idx="2">
                  <c:v>5906499.2426054403</c:v>
                </c:pt>
                <c:pt idx="3">
                  <c:v>5776074.3364271298</c:v>
                </c:pt>
                <c:pt idx="4">
                  <c:v>5733594.2901926702</c:v>
                </c:pt>
                <c:pt idx="5">
                  <c:v>4894794.2763913497</c:v>
                </c:pt>
                <c:pt idx="6">
                  <c:v>5382793.67504769</c:v>
                </c:pt>
              </c:numCache>
            </c:numRef>
          </c:val>
          <c:extLst>
            <c:ext xmlns:c16="http://schemas.microsoft.com/office/drawing/2014/chart" uri="{C3380CC4-5D6E-409C-BE32-E72D297353CC}">
              <c16:uniqueId val="{00000002-2917-B04A-9842-DA6CB4456F99}"/>
            </c:ext>
          </c:extLst>
        </c:ser>
        <c:ser>
          <c:idx val="3"/>
          <c:order val="3"/>
          <c:tx>
            <c:strRef>
              <c:f>'Summary Sheet'!$A$41</c:f>
              <c:strCache>
                <c:ptCount val="1"/>
                <c:pt idx="0">
                  <c:v>Governance and sustainability </c:v>
                </c:pt>
              </c:strCache>
            </c:strRef>
          </c:tx>
          <c:invertIfNegative val="0"/>
          <c:dLbls>
            <c:spPr>
              <a:noFill/>
              <a:ln>
                <a:noFill/>
              </a:ln>
              <a:effectLst/>
            </c:spPr>
            <c:txPr>
              <a:bodyPr wrap="square" lIns="38100" tIns="19050" rIns="38100" bIns="19050" anchor="ctr">
                <a:spAutoFit/>
              </a:bodyPr>
              <a:lstStyle/>
              <a:p>
                <a:pPr>
                  <a:defRPr sz="9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'Summary Sheet'!$B$37:$L$37</c:f>
              <c:numCache>
                <c:formatCode>General</c:formatCode>
                <c:ptCount val="7"/>
                <c:pt idx="0">
                  <c:v>2015</c:v>
                </c:pt>
                <c:pt idx="1">
                  <c:v>2016</c:v>
                </c:pt>
                <c:pt idx="2">
                  <c:v>2017</c:v>
                </c:pt>
                <c:pt idx="3">
                  <c:v>2018</c:v>
                </c:pt>
                <c:pt idx="4">
                  <c:v>2019</c:v>
                </c:pt>
                <c:pt idx="5">
                  <c:v>2020</c:v>
                </c:pt>
                <c:pt idx="6">
                  <c:v>2021</c:v>
                </c:pt>
              </c:numCache>
            </c:numRef>
          </c:cat>
          <c:val>
            <c:numRef>
              <c:f>'Summary Sheet'!$B$41:$L$41</c:f>
              <c:numCache>
                <c:formatCode>_-* #,##0_-;\-* #,##0_-;_-* "-"??_-;_-@_-</c:formatCode>
                <c:ptCount val="7"/>
                <c:pt idx="0">
                  <c:v>808427</c:v>
                </c:pt>
                <c:pt idx="1">
                  <c:v>1705714.2857142901</c:v>
                </c:pt>
                <c:pt idx="2">
                  <c:v>2110267.0812405301</c:v>
                </c:pt>
                <c:pt idx="3">
                  <c:v>1821998.30933709</c:v>
                </c:pt>
                <c:pt idx="4">
                  <c:v>1749998.27483377</c:v>
                </c:pt>
                <c:pt idx="5">
                  <c:v>1799998.27483377</c:v>
                </c:pt>
                <c:pt idx="6">
                  <c:v>1799998.27483377</c:v>
                </c:pt>
              </c:numCache>
            </c:numRef>
          </c:val>
          <c:extLst>
            <c:ext xmlns:c16="http://schemas.microsoft.com/office/drawing/2014/chart" uri="{C3380CC4-5D6E-409C-BE32-E72D297353CC}">
              <c16:uniqueId val="{00000003-2917-B04A-9842-DA6CB4456F99}"/>
            </c:ext>
          </c:extLst>
        </c:ser>
        <c:ser>
          <c:idx val="4"/>
          <c:order val="4"/>
          <c:tx>
            <c:strRef>
              <c:f>'Summary Sheet'!$A$42</c:f>
              <c:strCache>
                <c:ptCount val="1"/>
                <c:pt idx="0">
                  <c:v>The rest</c:v>
                </c:pt>
              </c:strCache>
            </c:strRef>
          </c:tx>
          <c:invertIfNegative val="0"/>
          <c:cat>
            <c:numRef>
              <c:f>'Summary Sheet'!$B$37:$L$37</c:f>
              <c:numCache>
                <c:formatCode>General</c:formatCode>
                <c:ptCount val="7"/>
                <c:pt idx="0">
                  <c:v>2015</c:v>
                </c:pt>
                <c:pt idx="1">
                  <c:v>2016</c:v>
                </c:pt>
                <c:pt idx="2">
                  <c:v>2017</c:v>
                </c:pt>
                <c:pt idx="3">
                  <c:v>2018</c:v>
                </c:pt>
                <c:pt idx="4">
                  <c:v>2019</c:v>
                </c:pt>
                <c:pt idx="5">
                  <c:v>2020</c:v>
                </c:pt>
                <c:pt idx="6">
                  <c:v>2021</c:v>
                </c:pt>
              </c:numCache>
            </c:numRef>
          </c:cat>
          <c:val>
            <c:numRef>
              <c:f>'Summary Sheet'!$B$42:$L$42</c:f>
              <c:numCache>
                <c:formatCode>_-* #,##0_-;\-* #,##0_-;_-* "-"??_-;_-@_-</c:formatCode>
                <c:ptCount val="7"/>
                <c:pt idx="0">
                  <c:v>634654.77999999991</c:v>
                </c:pt>
                <c:pt idx="1">
                  <c:v>504738.24312333629</c:v>
                </c:pt>
                <c:pt idx="2">
                  <c:v>411703.34050865029</c:v>
                </c:pt>
                <c:pt idx="3">
                  <c:v>259999.67961198551</c:v>
                </c:pt>
                <c:pt idx="4">
                  <c:v>259999.67961198551</c:v>
                </c:pt>
                <c:pt idx="5">
                  <c:v>259999.67961198551</c:v>
                </c:pt>
                <c:pt idx="6">
                  <c:v>259999.67961198551</c:v>
                </c:pt>
              </c:numCache>
            </c:numRef>
          </c:val>
          <c:extLst>
            <c:ext xmlns:c16="http://schemas.microsoft.com/office/drawing/2014/chart" uri="{C3380CC4-5D6E-409C-BE32-E72D297353CC}">
              <c16:uniqueId val="{00000004-2917-B04A-9842-DA6CB4456F99}"/>
            </c:ext>
          </c:extLst>
        </c:ser>
        <c:dLbls>
          <c:showLegendKey val="0"/>
          <c:showVal val="0"/>
          <c:showCatName val="0"/>
          <c:showSerName val="0"/>
          <c:showPercent val="0"/>
          <c:showBubbleSize val="0"/>
        </c:dLbls>
        <c:gapWidth val="150"/>
        <c:overlap val="100"/>
        <c:axId val="761075544"/>
        <c:axId val="761072016"/>
      </c:barChart>
      <c:catAx>
        <c:axId val="761075544"/>
        <c:scaling>
          <c:orientation val="minMax"/>
        </c:scaling>
        <c:delete val="0"/>
        <c:axPos val="b"/>
        <c:numFmt formatCode="General" sourceLinked="1"/>
        <c:majorTickMark val="out"/>
        <c:minorTickMark val="none"/>
        <c:tickLblPos val="nextTo"/>
        <c:crossAx val="761072016"/>
        <c:crosses val="autoZero"/>
        <c:auto val="1"/>
        <c:lblAlgn val="ctr"/>
        <c:lblOffset val="100"/>
        <c:noMultiLvlLbl val="0"/>
      </c:catAx>
      <c:valAx>
        <c:axId val="761072016"/>
        <c:scaling>
          <c:orientation val="minMax"/>
        </c:scaling>
        <c:delete val="0"/>
        <c:axPos val="l"/>
        <c:majorGridlines/>
        <c:numFmt formatCode="_-* #,##0_-;\-* #,##0_-;_-* &quot;-&quot;??_-;_-@_-" sourceLinked="1"/>
        <c:majorTickMark val="out"/>
        <c:minorTickMark val="none"/>
        <c:tickLblPos val="nextTo"/>
        <c:txPr>
          <a:bodyPr/>
          <a:lstStyle/>
          <a:p>
            <a:pPr>
              <a:defRPr sz="800"/>
            </a:pPr>
            <a:endParaRPr lang="en-US"/>
          </a:p>
        </c:txPr>
        <c:crossAx val="761075544"/>
        <c:crosses val="autoZero"/>
        <c:crossBetween val="between"/>
      </c:valAx>
    </c:plotArea>
    <c:legend>
      <c:legendPos val="b"/>
      <c:overlay val="0"/>
      <c:txPr>
        <a:bodyPr/>
        <a:lstStyle/>
        <a:p>
          <a:pPr>
            <a:defRPr sz="7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584607449140613"/>
          <c:y val="5.0045495905368519E-2"/>
          <c:w val="0.48181425405565653"/>
          <c:h val="0.64917784958408864"/>
        </c:manualLayout>
      </c:layout>
      <c:pie3DChart>
        <c:varyColors val="1"/>
        <c:ser>
          <c:idx val="0"/>
          <c:order val="0"/>
          <c:tx>
            <c:strRef>
              <c:f>Sheet1!$B$1</c:f>
              <c:strCache>
                <c:ptCount val="1"/>
                <c:pt idx="0">
                  <c:v>Sales</c:v>
                </c:pt>
              </c:strCache>
            </c:strRef>
          </c:tx>
          <c:dPt>
            <c:idx val="0"/>
            <c:bubble3D val="0"/>
            <c:explosion val="22"/>
            <c:spPr>
              <a:solidFill>
                <a:srgbClr val="0070C0"/>
              </a:solidFill>
              <a:ln>
                <a:noFill/>
              </a:ln>
              <a:effectLst/>
              <a:sp3d/>
            </c:spPr>
            <c:extLst>
              <c:ext xmlns:c16="http://schemas.microsoft.com/office/drawing/2014/chart" uri="{C3380CC4-5D6E-409C-BE32-E72D297353CC}">
                <c16:uniqueId val="{00000001-1772-C347-AFF3-59CF5DB880F9}"/>
              </c:ext>
            </c:extLst>
          </c:dPt>
          <c:dPt>
            <c:idx val="1"/>
            <c:bubble3D val="0"/>
            <c:explosion val="23"/>
            <c:spPr>
              <a:solidFill>
                <a:srgbClr val="FF0000"/>
              </a:solidFill>
              <a:ln>
                <a:noFill/>
              </a:ln>
              <a:effectLst/>
              <a:sp3d/>
            </c:spPr>
            <c:extLst>
              <c:ext xmlns:c16="http://schemas.microsoft.com/office/drawing/2014/chart" uri="{C3380CC4-5D6E-409C-BE32-E72D297353CC}">
                <c16:uniqueId val="{00000003-1772-C347-AFF3-59CF5DB880F9}"/>
              </c:ext>
            </c:extLst>
          </c:dPt>
          <c:dPt>
            <c:idx val="2"/>
            <c:bubble3D val="0"/>
            <c:explosion val="11"/>
            <c:spPr>
              <a:solidFill>
                <a:srgbClr val="FFFF00"/>
              </a:solidFill>
              <a:ln>
                <a:noFill/>
              </a:ln>
              <a:effectLst/>
              <a:sp3d/>
            </c:spPr>
            <c:extLst>
              <c:ext xmlns:c16="http://schemas.microsoft.com/office/drawing/2014/chart" uri="{C3380CC4-5D6E-409C-BE32-E72D297353CC}">
                <c16:uniqueId val="{00000005-1772-C347-AFF3-59CF5DB880F9}"/>
              </c:ext>
            </c:extLst>
          </c:dPt>
          <c:dPt>
            <c:idx val="3"/>
            <c:bubble3D val="0"/>
            <c:explosion val="9"/>
            <c:spPr>
              <a:solidFill>
                <a:srgbClr val="7030A0"/>
              </a:solidFill>
              <a:ln>
                <a:noFill/>
              </a:ln>
              <a:effectLst/>
              <a:sp3d/>
            </c:spPr>
            <c:extLst>
              <c:ext xmlns:c16="http://schemas.microsoft.com/office/drawing/2014/chart" uri="{C3380CC4-5D6E-409C-BE32-E72D297353CC}">
                <c16:uniqueId val="{00000007-1772-C347-AFF3-59CF5DB880F9}"/>
              </c:ext>
            </c:extLst>
          </c:dPt>
          <c:dPt>
            <c:idx val="4"/>
            <c:bubble3D val="0"/>
            <c:explosion val="17"/>
            <c:spPr>
              <a:solidFill>
                <a:schemeClr val="tx2"/>
              </a:solidFill>
              <a:ln>
                <a:noFill/>
              </a:ln>
              <a:effectLst/>
              <a:sp3d/>
            </c:spPr>
            <c:extLst>
              <c:ext xmlns:c16="http://schemas.microsoft.com/office/drawing/2014/chart" uri="{C3380CC4-5D6E-409C-BE32-E72D297353CC}">
                <c16:uniqueId val="{00000009-1772-C347-AFF3-59CF5DB880F9}"/>
              </c:ext>
            </c:extLst>
          </c:dPt>
          <c:dPt>
            <c:idx val="5"/>
            <c:bubble3D val="0"/>
            <c:spPr>
              <a:solidFill>
                <a:srgbClr val="00FA00"/>
              </a:solidFill>
              <a:ln>
                <a:noFill/>
              </a:ln>
              <a:effectLst/>
              <a:sp3d/>
            </c:spPr>
            <c:extLst>
              <c:ext xmlns:c16="http://schemas.microsoft.com/office/drawing/2014/chart" uri="{C3380CC4-5D6E-409C-BE32-E72D297353CC}">
                <c16:uniqueId val="{0000000B-1772-C347-AFF3-59CF5DB880F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Sheet1!$A$2:$A$7</c:f>
              <c:strCache>
                <c:ptCount val="6"/>
                <c:pt idx="0">
                  <c:v>Heterosexual Contacts</c:v>
                </c:pt>
                <c:pt idx="1">
                  <c:v>Injecting Drug Use</c:v>
                </c:pt>
                <c:pt idx="2">
                  <c:v>Homo/Bi-sexual Contacts</c:v>
                </c:pt>
                <c:pt idx="3">
                  <c:v>Blood Transfusion</c:v>
                </c:pt>
                <c:pt idx="4">
                  <c:v>MTCT</c:v>
                </c:pt>
                <c:pt idx="5">
                  <c:v>Unknown</c:v>
                </c:pt>
              </c:strCache>
            </c:strRef>
          </c:cat>
          <c:val>
            <c:numRef>
              <c:f>Sheet1!$B$2:$B$7</c:f>
              <c:numCache>
                <c:formatCode>0.0%</c:formatCode>
                <c:ptCount val="6"/>
                <c:pt idx="0">
                  <c:v>0.45200000000000001</c:v>
                </c:pt>
                <c:pt idx="1">
                  <c:v>0.41599999999999998</c:v>
                </c:pt>
                <c:pt idx="2">
                  <c:v>0.106</c:v>
                </c:pt>
                <c:pt idx="3">
                  <c:v>5.0000000000000001E-3</c:v>
                </c:pt>
                <c:pt idx="4">
                  <c:v>1.4E-2</c:v>
                </c:pt>
                <c:pt idx="5">
                  <c:v>7.0000000000000001E-3</c:v>
                </c:pt>
              </c:numCache>
            </c:numRef>
          </c:val>
          <c:extLst>
            <c:ext xmlns:c16="http://schemas.microsoft.com/office/drawing/2014/chart" uri="{C3380CC4-5D6E-409C-BE32-E72D297353CC}">
              <c16:uniqueId val="{0000000C-1772-C347-AFF3-59CF5DB880F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Sheet1!$B$1</c:f>
              <c:strCache>
                <c:ptCount val="1"/>
                <c:pt idx="0">
                  <c:v>High</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Sheet1!$B$2:$B$5</c:f>
              <c:numCache>
                <c:formatCode>General</c:formatCode>
                <c:ptCount val="4"/>
                <c:pt idx="0">
                  <c:v>8.6</c:v>
                </c:pt>
                <c:pt idx="1">
                  <c:v>11.1</c:v>
                </c:pt>
                <c:pt idx="2">
                  <c:v>18.7</c:v>
                </c:pt>
                <c:pt idx="3">
                  <c:v>26.8</c:v>
                </c:pt>
              </c:numCache>
            </c:numRef>
          </c:val>
          <c:smooth val="0"/>
          <c:extLst>
            <c:ext xmlns:c16="http://schemas.microsoft.com/office/drawing/2014/chart" uri="{C3380CC4-5D6E-409C-BE32-E72D297353CC}">
              <c16:uniqueId val="{00000000-3521-9E40-BA9C-9C9CF2B0C8EE}"/>
            </c:ext>
          </c:extLst>
        </c:ser>
        <c:ser>
          <c:idx val="1"/>
          <c:order val="1"/>
          <c:tx>
            <c:strRef>
              <c:f>Sheet1!$C$1</c:f>
              <c:strCache>
                <c:ptCount val="1"/>
                <c:pt idx="0">
                  <c:v>Low</c:v>
                </c:pt>
              </c:strCache>
            </c:strRef>
          </c:tx>
          <c:spPr>
            <a:ln w="19050"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Sheet1!$C$2:$C$5</c:f>
              <c:numCache>
                <c:formatCode>General</c:formatCode>
                <c:ptCount val="4"/>
                <c:pt idx="0">
                  <c:v>1.2</c:v>
                </c:pt>
                <c:pt idx="1">
                  <c:v>4.0999999999999996</c:v>
                </c:pt>
                <c:pt idx="2">
                  <c:v>8.5</c:v>
                </c:pt>
                <c:pt idx="3">
                  <c:v>17.100000000000001</c:v>
                </c:pt>
              </c:numCache>
            </c:numRef>
          </c:val>
          <c:smooth val="0"/>
          <c:extLst>
            <c:ext xmlns:c16="http://schemas.microsoft.com/office/drawing/2014/chart" uri="{C3380CC4-5D6E-409C-BE32-E72D297353CC}">
              <c16:uniqueId val="{00000001-3521-9E40-BA9C-9C9CF2B0C8EE}"/>
            </c:ext>
          </c:extLst>
        </c:ser>
        <c:ser>
          <c:idx val="2"/>
          <c:order val="2"/>
          <c:tx>
            <c:strRef>
              <c:f>Sheet1!$D$1</c:f>
              <c:strCache>
                <c:ptCount val="1"/>
                <c:pt idx="0">
                  <c:v>Close</c:v>
                </c:pt>
              </c:strCache>
            </c:strRef>
          </c:tx>
          <c:spPr>
            <a:ln w="19050" cap="rnd">
              <a:noFill/>
              <a:round/>
            </a:ln>
            <a:effectLst/>
          </c:spPr>
          <c:marker>
            <c:symbol val="square"/>
            <c:size val="9"/>
            <c:spPr>
              <a:solidFill>
                <a:srgbClr val="FF000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Sheet1!$A$2:$A$5</c:f>
              <c:numCache>
                <c:formatCode>0;[Red]0</c:formatCode>
                <c:ptCount val="4"/>
                <c:pt idx="0">
                  <c:v>2007</c:v>
                </c:pt>
                <c:pt idx="1">
                  <c:v>2010</c:v>
                </c:pt>
                <c:pt idx="2">
                  <c:v>2012</c:v>
                </c:pt>
                <c:pt idx="3">
                  <c:v>2015</c:v>
                </c:pt>
              </c:numCache>
            </c:numRef>
          </c:cat>
          <c:val>
            <c:numRef>
              <c:f>Sheet1!$D$2:$D$5</c:f>
              <c:numCache>
                <c:formatCode>General</c:formatCode>
                <c:ptCount val="4"/>
                <c:pt idx="0">
                  <c:v>3.7</c:v>
                </c:pt>
                <c:pt idx="1">
                  <c:v>7</c:v>
                </c:pt>
                <c:pt idx="2">
                  <c:v>13</c:v>
                </c:pt>
                <c:pt idx="3">
                  <c:v>21.7</c:v>
                </c:pt>
              </c:numCache>
            </c:numRef>
          </c:val>
          <c:smooth val="0"/>
          <c:extLst>
            <c:ext xmlns:c16="http://schemas.microsoft.com/office/drawing/2014/chart" uri="{C3380CC4-5D6E-409C-BE32-E72D297353CC}">
              <c16:uniqueId val="{00000002-3521-9E40-BA9C-9C9CF2B0C8EE}"/>
            </c:ext>
          </c:extLst>
        </c:ser>
        <c:dLbls>
          <c:showLegendKey val="0"/>
          <c:showVal val="0"/>
          <c:showCatName val="0"/>
          <c:showSerName val="0"/>
          <c:showPercent val="0"/>
          <c:showBubbleSize val="0"/>
        </c:dLbls>
        <c:hiLowLines>
          <c:spPr>
            <a:ln w="9525">
              <a:solidFill>
                <a:schemeClr val="tx1">
                  <a:lumMod val="75000"/>
                  <a:lumOff val="25000"/>
                </a:schemeClr>
              </a:solidFill>
              <a:round/>
            </a:ln>
            <a:effectLst/>
          </c:spPr>
        </c:hiLowLines>
        <c:axId val="632158888"/>
        <c:axId val="632156536"/>
      </c:stockChart>
      <c:catAx>
        <c:axId val="632158888"/>
        <c:scaling>
          <c:orientation val="minMax"/>
        </c:scaling>
        <c:delete val="0"/>
        <c:axPos val="b"/>
        <c:numFmt formatCode="0;[Red]0"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2156536"/>
        <c:crossesAt val="0"/>
        <c:auto val="1"/>
        <c:lblAlgn val="ctr"/>
        <c:lblOffset val="100"/>
        <c:noMultiLvlLbl val="0"/>
      </c:catAx>
      <c:valAx>
        <c:axId val="63215653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2158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Column2</c:v>
                </c:pt>
              </c:strCache>
            </c:strRef>
          </c:tx>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C05B-BD41-AE6A-181D32DB9D1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Sheet1!$A$2:$A$7</c:f>
              <c:strCache>
                <c:ptCount val="6"/>
                <c:pt idx="0">
                  <c:v>Russian Federation</c:v>
                </c:pt>
                <c:pt idx="1">
                  <c:v>Georgia</c:v>
                </c:pt>
                <c:pt idx="2">
                  <c:v>Moldova</c:v>
                </c:pt>
                <c:pt idx="3">
                  <c:v>Kazakhstan</c:v>
                </c:pt>
                <c:pt idx="4">
                  <c:v>Ukraine</c:v>
                </c:pt>
                <c:pt idx="5">
                  <c:v>Azerbaijan</c:v>
                </c:pt>
              </c:strCache>
            </c:strRef>
          </c:cat>
          <c:val>
            <c:numRef>
              <c:f>Sheet1!$B$2:$B$7</c:f>
              <c:numCache>
                <c:formatCode>General</c:formatCode>
                <c:ptCount val="6"/>
                <c:pt idx="0">
                  <c:v>2.29</c:v>
                </c:pt>
                <c:pt idx="1">
                  <c:v>2.2400000000000002</c:v>
                </c:pt>
                <c:pt idx="2">
                  <c:v>1.23</c:v>
                </c:pt>
                <c:pt idx="3">
                  <c:v>1.0900000000000001</c:v>
                </c:pt>
                <c:pt idx="4">
                  <c:v>1.0900000000000001</c:v>
                </c:pt>
                <c:pt idx="5">
                  <c:v>1.08</c:v>
                </c:pt>
              </c:numCache>
            </c:numRef>
          </c:val>
          <c:extLst>
            <c:ext xmlns:c16="http://schemas.microsoft.com/office/drawing/2014/chart" uri="{C3380CC4-5D6E-409C-BE32-E72D297353CC}">
              <c16:uniqueId val="{00000002-C05B-BD41-AE6A-181D32DB9D13}"/>
            </c:ext>
          </c:extLst>
        </c:ser>
        <c:dLbls>
          <c:showLegendKey val="0"/>
          <c:showVal val="0"/>
          <c:showCatName val="0"/>
          <c:showSerName val="0"/>
          <c:showPercent val="0"/>
          <c:showBubbleSize val="0"/>
        </c:dLbls>
        <c:gapWidth val="219"/>
        <c:overlap val="-27"/>
        <c:axId val="633213368"/>
        <c:axId val="633214152"/>
      </c:barChart>
      <c:catAx>
        <c:axId val="6332133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3214152"/>
        <c:crosses val="autoZero"/>
        <c:auto val="1"/>
        <c:lblAlgn val="ctr"/>
        <c:lblOffset val="100"/>
        <c:noMultiLvlLbl val="0"/>
      </c:catAx>
      <c:valAx>
        <c:axId val="63321415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3213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2011</c:v>
                </c:pt>
                <c:pt idx="1">
                  <c:v>2014</c:v>
                </c:pt>
                <c:pt idx="2">
                  <c:v>2017</c:v>
                </c:pt>
              </c:numCache>
            </c:numRef>
          </c:cat>
          <c:val>
            <c:numRef>
              <c:f>Sheet1!$B$2:$B$4</c:f>
              <c:numCache>
                <c:formatCode>General</c:formatCode>
                <c:ptCount val="3"/>
                <c:pt idx="0">
                  <c:v>45000</c:v>
                </c:pt>
                <c:pt idx="1">
                  <c:v>49700</c:v>
                </c:pt>
                <c:pt idx="2">
                  <c:v>52500</c:v>
                </c:pt>
              </c:numCache>
            </c:numRef>
          </c:val>
          <c:extLst>
            <c:ext xmlns:c16="http://schemas.microsoft.com/office/drawing/2014/chart" uri="{C3380CC4-5D6E-409C-BE32-E72D297353CC}">
              <c16:uniqueId val="{00000000-D2D2-4040-AC48-B51BE2EDE3A1}"/>
            </c:ext>
          </c:extLst>
        </c:ser>
        <c:dLbls>
          <c:showLegendKey val="0"/>
          <c:showVal val="0"/>
          <c:showCatName val="0"/>
          <c:showSerName val="0"/>
          <c:showPercent val="0"/>
          <c:showBubbleSize val="0"/>
        </c:dLbls>
        <c:gapWidth val="219"/>
        <c:overlap val="-27"/>
        <c:axId val="629724648"/>
        <c:axId val="629729352"/>
      </c:barChart>
      <c:catAx>
        <c:axId val="62972464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29729352"/>
        <c:crosses val="autoZero"/>
        <c:auto val="1"/>
        <c:lblAlgn val="ctr"/>
        <c:lblOffset val="100"/>
        <c:noMultiLvlLbl val="0"/>
      </c:catAx>
      <c:valAx>
        <c:axId val="629729352"/>
        <c:scaling>
          <c:orientation val="minMax"/>
        </c:scaling>
        <c:delete val="1"/>
        <c:axPos val="l"/>
        <c:numFmt formatCode="General" sourceLinked="1"/>
        <c:majorTickMark val="none"/>
        <c:minorTickMark val="none"/>
        <c:tickLblPos val="nextTo"/>
        <c:crossAx val="629724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HIV Prevalence Among PWID</c:v>
                </c:pt>
              </c:strCache>
            </c:strRef>
          </c:tx>
          <c:spPr>
            <a:ln w="31750" cap="rnd">
              <a:solidFill>
                <a:srgbClr val="FF0000"/>
              </a:solidFill>
              <a:round/>
            </a:ln>
            <a:effectLst/>
          </c:spPr>
          <c:marker>
            <c:symbol val="x"/>
            <c:size val="7"/>
            <c:spPr>
              <a:noFill/>
              <a:ln w="41275">
                <a:solidFill>
                  <a:srgbClr val="FF0000"/>
                </a:solidFill>
              </a:ln>
              <a:effectLst/>
            </c:spPr>
          </c:marker>
          <c:dLbls>
            <c:dLbl>
              <c:idx val="0"/>
              <c:layout>
                <c:manualLayout>
                  <c:x val="-2.7777777777777776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F2-0542-9971-244F72F976E9}"/>
                </c:ext>
              </c:extLst>
            </c:dLbl>
            <c:dLbl>
              <c:idx val="1"/>
              <c:layout>
                <c:manualLayout>
                  <c:x val="-3.0092592592592678E-2"/>
                  <c:y val="3.9682539682539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F2-0542-9971-244F72F976E9}"/>
                </c:ext>
              </c:extLst>
            </c:dLbl>
            <c:dLbl>
              <c:idx val="2"/>
              <c:layout>
                <c:manualLayout>
                  <c:x val="-2.7777777777777776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F2-0542-9971-244F72F976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2009</c:v>
                </c:pt>
                <c:pt idx="1">
                  <c:v>2012</c:v>
                </c:pt>
                <c:pt idx="2">
                  <c:v>2015</c:v>
                </c:pt>
                <c:pt idx="3">
                  <c:v>2017</c:v>
                </c:pt>
              </c:numCache>
            </c:numRef>
          </c:cat>
          <c:val>
            <c:numRef>
              <c:f>Sheet1!$B$2:$B$5</c:f>
              <c:numCache>
                <c:formatCode>General</c:formatCode>
                <c:ptCount val="4"/>
                <c:pt idx="0">
                  <c:v>2.2999999999999998</c:v>
                </c:pt>
                <c:pt idx="1">
                  <c:v>2.2000000000000002</c:v>
                </c:pt>
                <c:pt idx="2">
                  <c:v>3</c:v>
                </c:pt>
                <c:pt idx="3">
                  <c:v>2.4</c:v>
                </c:pt>
              </c:numCache>
            </c:numRef>
          </c:val>
          <c:smooth val="0"/>
          <c:extLst>
            <c:ext xmlns:c16="http://schemas.microsoft.com/office/drawing/2014/chart" uri="{C3380CC4-5D6E-409C-BE32-E72D297353CC}">
              <c16:uniqueId val="{00000003-0EF2-0542-9971-244F72F976E9}"/>
            </c:ext>
          </c:extLst>
        </c:ser>
        <c:dLbls>
          <c:showLegendKey val="0"/>
          <c:showVal val="0"/>
          <c:showCatName val="0"/>
          <c:showSerName val="0"/>
          <c:showPercent val="0"/>
          <c:showBubbleSize val="0"/>
        </c:dLbls>
        <c:marker val="1"/>
        <c:smooth val="0"/>
        <c:axId val="629723864"/>
        <c:axId val="629727000"/>
      </c:lineChart>
      <c:catAx>
        <c:axId val="62972386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29727000"/>
        <c:crosses val="autoZero"/>
        <c:auto val="1"/>
        <c:lblAlgn val="ctr"/>
        <c:lblOffset val="100"/>
        <c:noMultiLvlLbl val="0"/>
      </c:catAx>
      <c:valAx>
        <c:axId val="62972700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9723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Tbilisi</c:v>
                </c:pt>
              </c:strCache>
            </c:strRef>
          </c:tx>
          <c:spPr>
            <a:ln w="19050" cap="rnd">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Sheet1!$B$2:$B$8</c:f>
              <c:numCache>
                <c:formatCode>General</c:formatCode>
                <c:ptCount val="7"/>
                <c:pt idx="0">
                  <c:v>0</c:v>
                </c:pt>
                <c:pt idx="1">
                  <c:v>1.3</c:v>
                </c:pt>
                <c:pt idx="2">
                  <c:v>0.6</c:v>
                </c:pt>
                <c:pt idx="3">
                  <c:v>1.9</c:v>
                </c:pt>
                <c:pt idx="4">
                  <c:v>1.3</c:v>
                </c:pt>
                <c:pt idx="5">
                  <c:v>0.6</c:v>
                </c:pt>
                <c:pt idx="6">
                  <c:v>1.5</c:v>
                </c:pt>
              </c:numCache>
            </c:numRef>
          </c:val>
          <c:smooth val="0"/>
          <c:extLst>
            <c:ext xmlns:c16="http://schemas.microsoft.com/office/drawing/2014/chart" uri="{C3380CC4-5D6E-409C-BE32-E72D297353CC}">
              <c16:uniqueId val="{00000000-A089-A144-8906-3CEDB99F0A3B}"/>
            </c:ext>
          </c:extLst>
        </c:ser>
        <c:ser>
          <c:idx val="1"/>
          <c:order val="1"/>
          <c:tx>
            <c:strRef>
              <c:f>Sheet1!$C$1</c:f>
              <c:strCache>
                <c:ptCount val="1"/>
                <c:pt idx="0">
                  <c:v>Batumi</c:v>
                </c:pt>
              </c:strCache>
            </c:strRef>
          </c:tx>
          <c:spPr>
            <a:ln w="19050" cap="rnd">
              <a:solidFill>
                <a:srgbClr val="FF0000"/>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Sheet1!$A$2:$A$8</c:f>
              <c:numCache>
                <c:formatCode>General</c:formatCode>
                <c:ptCount val="7"/>
                <c:pt idx="0">
                  <c:v>2002</c:v>
                </c:pt>
                <c:pt idx="1">
                  <c:v>2004</c:v>
                </c:pt>
                <c:pt idx="2">
                  <c:v>2006</c:v>
                </c:pt>
                <c:pt idx="3">
                  <c:v>2009</c:v>
                </c:pt>
                <c:pt idx="4">
                  <c:v>2012</c:v>
                </c:pt>
                <c:pt idx="5">
                  <c:v>2014</c:v>
                </c:pt>
                <c:pt idx="6">
                  <c:v>2017</c:v>
                </c:pt>
              </c:numCache>
            </c:numRef>
          </c:cat>
          <c:val>
            <c:numRef>
              <c:f>Sheet1!$C$2:$C$8</c:f>
              <c:numCache>
                <c:formatCode>General</c:formatCode>
                <c:ptCount val="7"/>
                <c:pt idx="1">
                  <c:v>0</c:v>
                </c:pt>
                <c:pt idx="2">
                  <c:v>0.1</c:v>
                </c:pt>
                <c:pt idx="3">
                  <c:v>0.8</c:v>
                </c:pt>
                <c:pt idx="4">
                  <c:v>0.8</c:v>
                </c:pt>
                <c:pt idx="5">
                  <c:v>0.8</c:v>
                </c:pt>
                <c:pt idx="6">
                  <c:v>0</c:v>
                </c:pt>
              </c:numCache>
            </c:numRef>
          </c:val>
          <c:smooth val="0"/>
          <c:extLst>
            <c:ext xmlns:c16="http://schemas.microsoft.com/office/drawing/2014/chart" uri="{C3380CC4-5D6E-409C-BE32-E72D297353CC}">
              <c16:uniqueId val="{00000001-A089-A144-8906-3CEDB99F0A3B}"/>
            </c:ext>
          </c:extLst>
        </c:ser>
        <c:dLbls>
          <c:dLblPos val="ctr"/>
          <c:showLegendKey val="0"/>
          <c:showVal val="1"/>
          <c:showCatName val="0"/>
          <c:showSerName val="0"/>
          <c:showPercent val="0"/>
          <c:showBubbleSize val="0"/>
        </c:dLbls>
        <c:marker val="1"/>
        <c:smooth val="0"/>
        <c:axId val="629727392"/>
        <c:axId val="629730136"/>
      </c:lineChart>
      <c:catAx>
        <c:axId val="629727392"/>
        <c:scaling>
          <c:orientation val="minMax"/>
        </c:scaling>
        <c:delete val="0"/>
        <c:axPos val="b"/>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629730136"/>
        <c:crosses val="autoZero"/>
        <c:auto val="1"/>
        <c:lblAlgn val="ctr"/>
        <c:lblOffset val="100"/>
        <c:noMultiLvlLbl val="0"/>
      </c:catAx>
      <c:valAx>
        <c:axId val="629730136"/>
        <c:scaling>
          <c:orientation val="minMax"/>
        </c:scaling>
        <c:delete val="1"/>
        <c:axPos val="l"/>
        <c:numFmt formatCode="General" sourceLinked="1"/>
        <c:majorTickMark val="none"/>
        <c:minorTickMark val="none"/>
        <c:tickLblPos val="nextTo"/>
        <c:crossAx val="62972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square"/>
            <c:size val="6"/>
            <c:spPr>
              <a:solidFill>
                <a:srgbClr val="0070C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Sheet1!$A$2:$A$4</c:f>
              <c:numCache>
                <c:formatCode>General</c:formatCode>
                <c:ptCount val="3"/>
                <c:pt idx="0">
                  <c:v>2009</c:v>
                </c:pt>
                <c:pt idx="1">
                  <c:v>2012</c:v>
                </c:pt>
                <c:pt idx="2">
                  <c:v>2015</c:v>
                </c:pt>
              </c:numCache>
            </c:numRef>
          </c:cat>
          <c:val>
            <c:numRef>
              <c:f>Sheet1!$B$2:$B$4</c:f>
              <c:numCache>
                <c:formatCode>General</c:formatCode>
                <c:ptCount val="3"/>
                <c:pt idx="0">
                  <c:v>1.9</c:v>
                </c:pt>
                <c:pt idx="1">
                  <c:v>0.3</c:v>
                </c:pt>
                <c:pt idx="2">
                  <c:v>1.4</c:v>
                </c:pt>
              </c:numCache>
            </c:numRef>
          </c:val>
          <c:smooth val="0"/>
          <c:extLst>
            <c:ext xmlns:c16="http://schemas.microsoft.com/office/drawing/2014/chart" uri="{C3380CC4-5D6E-409C-BE32-E72D297353CC}">
              <c16:uniqueId val="{00000000-7D7C-5E42-A69F-705FC5DCB458}"/>
            </c:ext>
          </c:extLst>
        </c:ser>
        <c:dLbls>
          <c:showLegendKey val="0"/>
          <c:showVal val="0"/>
          <c:showCatName val="0"/>
          <c:showSerName val="0"/>
          <c:showPercent val="0"/>
          <c:showBubbleSize val="0"/>
        </c:dLbls>
        <c:marker val="1"/>
        <c:smooth val="0"/>
        <c:axId val="629722688"/>
        <c:axId val="629723080"/>
      </c:lineChart>
      <c:catAx>
        <c:axId val="62972268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9723080"/>
        <c:crosses val="autoZero"/>
        <c:auto val="1"/>
        <c:lblAlgn val="ctr"/>
        <c:lblOffset val="100"/>
        <c:noMultiLvlLbl val="0"/>
      </c:catAx>
      <c:valAx>
        <c:axId val="629723080"/>
        <c:scaling>
          <c:orientation val="minMax"/>
        </c:scaling>
        <c:delete val="1"/>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crossAx val="629722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Global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Sheet1!$B$2:$C$2</c:f>
              <c:numCache>
                <c:formatCode>0%</c:formatCode>
                <c:ptCount val="2"/>
                <c:pt idx="0">
                  <c:v>0.77</c:v>
                </c:pt>
                <c:pt idx="1">
                  <c:v>0.85</c:v>
                </c:pt>
              </c:numCache>
            </c:numRef>
          </c:val>
          <c:extLst>
            <c:ext xmlns:c16="http://schemas.microsoft.com/office/drawing/2014/chart" uri="{C3380CC4-5D6E-409C-BE32-E72D297353CC}">
              <c16:uniqueId val="{00000000-A101-1E41-A50E-DAEAD9C0A626}"/>
            </c:ext>
          </c:extLst>
        </c:ser>
        <c:ser>
          <c:idx val="1"/>
          <c:order val="1"/>
          <c:tx>
            <c:strRef>
              <c:f>Sheet1!$A$3</c:f>
              <c:strCache>
                <c:ptCount val="1"/>
                <c:pt idx="0">
                  <c:v>WHO Europe</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Sheet1!$B$3:$C$3</c:f>
              <c:numCache>
                <c:formatCode>0%</c:formatCode>
                <c:ptCount val="2"/>
                <c:pt idx="0">
                  <c:v>0.57999999999999996</c:v>
                </c:pt>
                <c:pt idx="1">
                  <c:v>0.66</c:v>
                </c:pt>
              </c:numCache>
            </c:numRef>
          </c:val>
          <c:extLst>
            <c:ext xmlns:c16="http://schemas.microsoft.com/office/drawing/2014/chart" uri="{C3380CC4-5D6E-409C-BE32-E72D297353CC}">
              <c16:uniqueId val="{00000001-A101-1E41-A50E-DAEAD9C0A626}"/>
            </c:ext>
          </c:extLst>
        </c:ser>
        <c:ser>
          <c:idx val="2"/>
          <c:order val="2"/>
          <c:tx>
            <c:strRef>
              <c:f>Sheet1!$A$4</c:f>
              <c:strCache>
                <c:ptCount val="1"/>
                <c:pt idx="0">
                  <c:v>Georgia</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Sheet1!$B$1:$C$1</c:f>
              <c:strCache>
                <c:ptCount val="2"/>
                <c:pt idx="0">
                  <c:v>2015</c:v>
                </c:pt>
                <c:pt idx="1">
                  <c:v>2016</c:v>
                </c:pt>
              </c:strCache>
            </c:strRef>
          </c:cat>
          <c:val>
            <c:numRef>
              <c:f>Sheet1!$B$4:$C$4</c:f>
              <c:numCache>
                <c:formatCode>0%</c:formatCode>
                <c:ptCount val="2"/>
                <c:pt idx="0">
                  <c:v>0.89</c:v>
                </c:pt>
                <c:pt idx="1">
                  <c:v>0.92</c:v>
                </c:pt>
              </c:numCache>
            </c:numRef>
          </c:val>
          <c:extLst>
            <c:ext xmlns:c16="http://schemas.microsoft.com/office/drawing/2014/chart" uri="{C3380CC4-5D6E-409C-BE32-E72D297353CC}">
              <c16:uniqueId val="{00000002-A101-1E41-A50E-DAEAD9C0A626}"/>
            </c:ext>
          </c:extLst>
        </c:ser>
        <c:dLbls>
          <c:showLegendKey val="0"/>
          <c:showVal val="0"/>
          <c:showCatName val="0"/>
          <c:showSerName val="0"/>
          <c:showPercent val="0"/>
          <c:showBubbleSize val="0"/>
        </c:dLbls>
        <c:gapWidth val="219"/>
        <c:overlap val="-27"/>
        <c:axId val="629725824"/>
        <c:axId val="629726216"/>
      </c:barChart>
      <c:catAx>
        <c:axId val="62972582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9726216"/>
        <c:crosses val="autoZero"/>
        <c:auto val="1"/>
        <c:lblAlgn val="ctr"/>
        <c:lblOffset val="100"/>
        <c:noMultiLvlLbl val="0"/>
      </c:catAx>
      <c:valAx>
        <c:axId val="629726216"/>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972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rotWithShape="0">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0.29167</cdr:x>
      <cdr:y>0.51515</cdr:y>
    </cdr:from>
    <cdr:to>
      <cdr:x>0.39773</cdr:x>
      <cdr:y>0.58225</cdr:y>
    </cdr:to>
    <cdr:sp macro="" textlink="">
      <cdr:nvSpPr>
        <cdr:cNvPr id="2028012529" name="Right Arrow 1"/>
        <cdr:cNvSpPr/>
      </cdr:nvSpPr>
      <cdr:spPr>
        <a:xfrm xmlns:a="http://schemas.openxmlformats.org/drawingml/2006/main">
          <a:off x="1600200" y="1648691"/>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0.59512</cdr:x>
      <cdr:y>0.48557</cdr:y>
    </cdr:from>
    <cdr:to>
      <cdr:x>0.70118</cdr:x>
      <cdr:y>0.55267</cdr:y>
    </cdr:to>
    <cdr:sp macro="" textlink="">
      <cdr:nvSpPr>
        <cdr:cNvPr id="4" name="Right Arrow 3"/>
        <cdr:cNvSpPr/>
      </cdr:nvSpPr>
      <cdr:spPr>
        <a:xfrm xmlns:a="http://schemas.openxmlformats.org/drawingml/2006/main">
          <a:off x="3265055" y="1554017"/>
          <a:ext cx="581891" cy="214745"/>
        </a:xfrm>
        <a:prstGeom xmlns:a="http://schemas.openxmlformats.org/drawingml/2006/main" prst="rightArrow">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0.14015</cdr:x>
      <cdr:y>0.58837</cdr:y>
    </cdr:from>
    <cdr:to>
      <cdr:x>0.27399</cdr:x>
      <cdr:y>0.67279</cdr:y>
    </cdr:to>
    <cdr:sp macro="" textlink="">
      <cdr:nvSpPr>
        <cdr:cNvPr id="30502198" name="Text Box 1"/>
        <cdr:cNvSpPr txBox="1"/>
      </cdr:nvSpPr>
      <cdr:spPr>
        <a:xfrm xmlns:a="http://schemas.openxmlformats.org/drawingml/2006/main">
          <a:off x="768926" y="1605800"/>
          <a:ext cx="734291" cy="2303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n=10 500</a:t>
          </a:r>
        </a:p>
      </cdr:txBody>
    </cdr:sp>
  </cdr:relSizeAnchor>
  <cdr:relSizeAnchor xmlns:cdr="http://schemas.openxmlformats.org/drawingml/2006/chartDrawing">
    <cdr:from>
      <cdr:x>0.36869</cdr:x>
      <cdr:y>0.61678</cdr:y>
    </cdr:from>
    <cdr:to>
      <cdr:x>0.51042</cdr:x>
      <cdr:y>0.73211</cdr:y>
    </cdr:to>
    <cdr:sp macro="" textlink="">
      <cdr:nvSpPr>
        <cdr:cNvPr id="1509274849" name="Text Box 2"/>
        <cdr:cNvSpPr txBox="1"/>
      </cdr:nvSpPr>
      <cdr:spPr>
        <a:xfrm xmlns:a="http://schemas.openxmlformats.org/drawingml/2006/main">
          <a:off x="1854216" y="1247814"/>
          <a:ext cx="712771" cy="2333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n=5 090</a:t>
          </a:r>
        </a:p>
      </cdr:txBody>
    </cdr:sp>
  </cdr:relSizeAnchor>
  <cdr:relSizeAnchor xmlns:cdr="http://schemas.openxmlformats.org/drawingml/2006/chartDrawing">
    <cdr:from>
      <cdr:x>0.59343</cdr:x>
      <cdr:y>0.62947</cdr:y>
    </cdr:from>
    <cdr:to>
      <cdr:x>0.71338</cdr:x>
      <cdr:y>0.72084</cdr:y>
    </cdr:to>
    <cdr:sp macro="" textlink="">
      <cdr:nvSpPr>
        <cdr:cNvPr id="285187752" name="Text Box 3"/>
        <cdr:cNvSpPr txBox="1"/>
      </cdr:nvSpPr>
      <cdr:spPr>
        <a:xfrm xmlns:a="http://schemas.openxmlformats.org/drawingml/2006/main">
          <a:off x="3255818" y="1717964"/>
          <a:ext cx="658090"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n=4 144</a:t>
          </a:r>
        </a:p>
      </cdr:txBody>
    </cdr:sp>
  </cdr:relSizeAnchor>
  <cdr:relSizeAnchor xmlns:cdr="http://schemas.openxmlformats.org/drawingml/2006/chartDrawing">
    <cdr:from>
      <cdr:x>0.81566</cdr:x>
      <cdr:y>0.64216</cdr:y>
    </cdr:from>
    <cdr:to>
      <cdr:x>0.94823</cdr:x>
      <cdr:y>0.73353</cdr:y>
    </cdr:to>
    <cdr:sp macro="" textlink="">
      <cdr:nvSpPr>
        <cdr:cNvPr id="844804431" name="Text Box 4"/>
        <cdr:cNvSpPr txBox="1"/>
      </cdr:nvSpPr>
      <cdr:spPr>
        <a:xfrm xmlns:a="http://schemas.openxmlformats.org/drawingml/2006/main">
          <a:off x="4475018" y="1752601"/>
          <a:ext cx="727363" cy="249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chemeClr val="bg1"/>
              </a:solidFill>
            </a:rPr>
            <a:t>n=3 703</a:t>
          </a:r>
        </a:p>
      </cdr:txBody>
    </cdr:sp>
  </cdr:relSizeAnchor>
  <cdr:relSizeAnchor xmlns:cdr="http://schemas.openxmlformats.org/drawingml/2006/chartDrawing">
    <cdr:from>
      <cdr:x>0.71086</cdr:x>
      <cdr:y>0.58124</cdr:y>
    </cdr:from>
    <cdr:to>
      <cdr:x>0.80966</cdr:x>
      <cdr:y>0.66733</cdr:y>
    </cdr:to>
    <cdr:sp macro="" textlink="">
      <cdr:nvSpPr>
        <cdr:cNvPr id="10" name="Pentagon 9"/>
        <cdr:cNvSpPr/>
      </cdr:nvSpPr>
      <cdr:spPr>
        <a:xfrm xmlns:a="http://schemas.openxmlformats.org/drawingml/2006/main">
          <a:off x="3900055" y="1586347"/>
          <a:ext cx="542058"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100" b="1">
              <a:solidFill>
                <a:schemeClr val="accent1">
                  <a:lumMod val="75000"/>
                </a:schemeClr>
              </a:solidFill>
            </a:rPr>
            <a:t>89%</a:t>
          </a:r>
        </a:p>
      </cdr:txBody>
    </cdr:sp>
  </cdr:relSizeAnchor>
  <cdr:relSizeAnchor xmlns:cdr="http://schemas.openxmlformats.org/drawingml/2006/chartDrawing">
    <cdr:from>
      <cdr:x>0.48737</cdr:x>
      <cdr:y>0.57617</cdr:y>
    </cdr:from>
    <cdr:to>
      <cdr:x>0.58365</cdr:x>
      <cdr:y>0.66225</cdr:y>
    </cdr:to>
    <cdr:sp macro="" textlink="">
      <cdr:nvSpPr>
        <cdr:cNvPr id="2147327522" name="Pentagon 10"/>
        <cdr:cNvSpPr/>
      </cdr:nvSpPr>
      <cdr:spPr>
        <a:xfrm xmlns:a="http://schemas.openxmlformats.org/drawingml/2006/main">
          <a:off x="2673927" y="1572491"/>
          <a:ext cx="528205" cy="234950"/>
        </a:xfrm>
        <a:prstGeom xmlns:a="http://schemas.openxmlformats.org/drawingml/2006/main" prst="homePlate">
          <a:avLst/>
        </a:prstGeom>
        <a:noFill xmlns:a="http://schemas.openxmlformats.org/drawingml/2006/main"/>
        <a:ln xmlns:a="http://schemas.openxmlformats.org/drawingml/2006/main" w="190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numCol="1" spcCol="0" rtlCol="0" fromWordArt="0" anchor="ctr" anchorCtr="0" forceAA="0" compatLnSpc="1">
          <a:prstTxWarp prst="textNoShape">
            <a:avLst/>
          </a:prstTxWarp>
        </a:bodyPr>
        <a:lstStyle xmlns:a="http://schemas.openxmlformats.org/drawingml/2006/main"/>
        <a:p xmlns:a="http://schemas.openxmlformats.org/drawingml/2006/main">
          <a:r>
            <a:rPr lang="en-US" sz="1050" b="1">
              <a:solidFill>
                <a:schemeClr val="accent1">
                  <a:lumMod val="75000"/>
                </a:schemeClr>
              </a:solidFill>
            </a:rPr>
            <a:t>81%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E5CD-284D-DF45-8628-386F9541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14280</Words>
  <Characters>81401</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georgia HIV/AIDS NAtional Strategic Plan</vt:lpstr>
    </vt:vector>
  </TitlesOfParts>
  <Company/>
  <LinksUpToDate>false</LinksUpToDate>
  <CharactersWithSpaces>95491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HIV/AIDS NAtional Strategic Plan</dc:title>
  <dc:subject>2019 - 2022</dc:subject>
  <dc:creator>Katy Chkhatarashvili</dc:creator>
  <cp:lastModifiedBy>Katy Chkhatarashvili</cp:lastModifiedBy>
  <cp:revision>4</cp:revision>
  <cp:lastPrinted>2018-06-15T16:24:00Z</cp:lastPrinted>
  <dcterms:created xsi:type="dcterms:W3CDTF">2018-07-03T13:51:00Z</dcterms:created>
  <dcterms:modified xsi:type="dcterms:W3CDTF">2018-07-03T13:54:00Z</dcterms:modified>
</cp:coreProperties>
</file>